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AB9BC7">
      <w:pPr>
        <w:tabs>
          <w:tab w:val="left" w:pos="7560"/>
        </w:tabs>
        <w:adjustRightInd w:val="0"/>
        <w:snapToGrid w:val="0"/>
        <w:spacing w:line="560" w:lineRule="exact"/>
        <w:jc w:val="center"/>
        <w:rPr>
          <w:rFonts w:hint="eastAsia" w:ascii="方正小标宋简体" w:eastAsia="方正小标宋简体"/>
          <w:bCs/>
          <w:color w:val="000000"/>
          <w:sz w:val="44"/>
          <w:szCs w:val="44"/>
          <w:lang w:val="en-US" w:eastAsia="zh-CN"/>
        </w:rPr>
      </w:pPr>
    </w:p>
    <w:p w14:paraId="232FCF37">
      <w:pPr>
        <w:tabs>
          <w:tab w:val="left" w:pos="7560"/>
        </w:tabs>
        <w:adjustRightInd w:val="0"/>
        <w:snapToGrid w:val="0"/>
        <w:spacing w:line="560" w:lineRule="exact"/>
        <w:ind w:firstLine="640" w:firstLineChars="200"/>
        <w:jc w:val="center"/>
        <w:rPr>
          <w:rFonts w:hint="eastAsia" w:ascii="黑体" w:hAnsi="黑体" w:eastAsia="黑体" w:cs="黑体"/>
          <w:bCs/>
          <w:sz w:val="32"/>
          <w:szCs w:val="32"/>
        </w:rPr>
      </w:pPr>
      <w:r>
        <w:rPr>
          <w:rFonts w:hint="eastAsia" w:ascii="黑体" w:hAnsi="黑体" w:eastAsia="黑体" w:cs="黑体"/>
          <w:bCs/>
          <w:sz w:val="32"/>
          <w:szCs w:val="32"/>
        </w:rPr>
        <w:t>部门预算公开信息目录</w:t>
      </w:r>
    </w:p>
    <w:p w14:paraId="32BF92EA">
      <w:pPr>
        <w:tabs>
          <w:tab w:val="left" w:pos="7560"/>
        </w:tabs>
        <w:adjustRightInd w:val="0"/>
        <w:snapToGrid w:val="0"/>
        <w:spacing w:line="560" w:lineRule="exact"/>
        <w:ind w:firstLine="640" w:firstLineChars="200"/>
        <w:jc w:val="center"/>
        <w:rPr>
          <w:rFonts w:hint="eastAsia" w:ascii="黑体" w:hAnsi="黑体" w:eastAsia="黑体" w:cs="黑体"/>
          <w:bCs/>
          <w:sz w:val="32"/>
          <w:szCs w:val="32"/>
        </w:rPr>
      </w:pPr>
    </w:p>
    <w:p w14:paraId="5679DE60">
      <w:pPr>
        <w:numPr>
          <w:ilvl w:val="0"/>
          <w:numId w:val="1"/>
        </w:num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部门职能职责</w:t>
      </w:r>
    </w:p>
    <w:p w14:paraId="322A65E6">
      <w:pPr>
        <w:numPr>
          <w:ilvl w:val="0"/>
          <w:numId w:val="1"/>
        </w:num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二、机构设置</w:t>
      </w:r>
    </w:p>
    <w:p w14:paraId="65ED9CDD">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三、部门收支概况</w:t>
      </w:r>
    </w:p>
    <w:p w14:paraId="64DE4A5B">
      <w:pPr>
        <w:tabs>
          <w:tab w:val="left" w:pos="7560"/>
        </w:tabs>
        <w:adjustRightInd w:val="0"/>
        <w:snapToGrid w:val="0"/>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（一）收入预算</w:t>
      </w:r>
    </w:p>
    <w:p w14:paraId="5900B6F9">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eastAsia="仿宋_GB2312"/>
          <w:sz w:val="32"/>
          <w:szCs w:val="32"/>
        </w:rPr>
        <w:t>（</w:t>
      </w:r>
      <w:r>
        <w:rPr>
          <w:rFonts w:hint="eastAsia" w:ascii="仿宋_GB2312" w:hAnsi="仿宋_GB2312" w:eastAsia="仿宋_GB2312" w:cs="仿宋_GB2312"/>
          <w:sz w:val="32"/>
          <w:szCs w:val="32"/>
        </w:rPr>
        <w:t>二）支出预算</w:t>
      </w:r>
    </w:p>
    <w:p w14:paraId="2E25147E">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（三）预算收支增减变化情况说明</w:t>
      </w:r>
    </w:p>
    <w:p w14:paraId="545A8292">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四、其他重要事项情况说明</w:t>
      </w:r>
    </w:p>
    <w:p w14:paraId="727A280C">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（一）机关运行经费</w:t>
      </w:r>
    </w:p>
    <w:p w14:paraId="16BDC8EB">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（二）政府采购预算</w:t>
      </w:r>
    </w:p>
    <w:p w14:paraId="4CC3E91F">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（三）国有资产占有情况</w:t>
      </w:r>
    </w:p>
    <w:p w14:paraId="038E21E1">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（四）预算绩效目标</w:t>
      </w:r>
    </w:p>
    <w:p w14:paraId="05A6CED8">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（五）“三公”经费预算</w:t>
      </w:r>
    </w:p>
    <w:p w14:paraId="59EF54FE">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（六）会议费、培训费</w:t>
      </w:r>
    </w:p>
    <w:p w14:paraId="33B35891">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（七）其他事项</w:t>
      </w:r>
    </w:p>
    <w:p w14:paraId="4A4241FA">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p>
    <w:p w14:paraId="04DA663E">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五、名词解释</w:t>
      </w:r>
    </w:p>
    <w:p w14:paraId="08B4220D">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六、部门预算公开表格</w:t>
      </w:r>
    </w:p>
    <w:p w14:paraId="19F280FB">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（一）部门收支总表</w:t>
      </w:r>
    </w:p>
    <w:p w14:paraId="27E6FC9C">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（二）部门收入总表</w:t>
      </w:r>
    </w:p>
    <w:p w14:paraId="4BDE7751">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（三）部门支出总表</w:t>
      </w:r>
    </w:p>
    <w:p w14:paraId="673BD091">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（四）部门支出总表（分类）</w:t>
      </w:r>
    </w:p>
    <w:p w14:paraId="44B1EDBE">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（五）支出分类(政府预算)</w:t>
      </w:r>
    </w:p>
    <w:p w14:paraId="15F1D8E3">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（六）基本-工资福利</w:t>
      </w:r>
    </w:p>
    <w:p w14:paraId="16E59C08">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（七）工资福利(政府预算)</w:t>
      </w:r>
    </w:p>
    <w:p w14:paraId="6E098A0F">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（八）基本-一般商品服务</w:t>
      </w:r>
    </w:p>
    <w:p w14:paraId="783EDD33">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（九）商品服务(政府预算)</w:t>
      </w:r>
    </w:p>
    <w:p w14:paraId="260F8496">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（十）基本-个人和家庭</w:t>
      </w:r>
    </w:p>
    <w:p w14:paraId="722C7375">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（十一）个人家庭(政府预算)</w:t>
      </w:r>
    </w:p>
    <w:p w14:paraId="408CDCC6">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（十二）财政拨款收支总表</w:t>
      </w:r>
    </w:p>
    <w:p w14:paraId="10B82D6E">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（十三）一般预算支出表</w:t>
      </w:r>
    </w:p>
    <w:p w14:paraId="101C0BF3">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（十四）一般预算基本支出表</w:t>
      </w:r>
    </w:p>
    <w:p w14:paraId="0C6AB8AD">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（十五）一般-工资福利</w:t>
      </w:r>
    </w:p>
    <w:p w14:paraId="080A8C89">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（十六）工资福利(政府预算) </w:t>
      </w:r>
    </w:p>
    <w:p w14:paraId="5F4A368E">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（十七）一般-一般商品服务</w:t>
      </w:r>
    </w:p>
    <w:p w14:paraId="195036E2">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（十八）商品服务(政府预算) </w:t>
      </w:r>
    </w:p>
    <w:p w14:paraId="1AE9C4D2">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（十九）一般-个人和家庭</w:t>
      </w:r>
    </w:p>
    <w:p w14:paraId="5E6964C1">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（二十）个人家庭(政府预算) </w:t>
      </w:r>
    </w:p>
    <w:p w14:paraId="5A65FD89">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（二十一）政府性基金</w:t>
      </w:r>
    </w:p>
    <w:p w14:paraId="018E5384">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（二十二）政府性基金(政府预算) </w:t>
      </w:r>
    </w:p>
    <w:p w14:paraId="6DB76210">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（二十三）专户</w:t>
      </w:r>
    </w:p>
    <w:p w14:paraId="3C85E256">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（二十四）专户(政府预算)</w:t>
      </w:r>
    </w:p>
    <w:p w14:paraId="02AB58B0">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（二十五）经费拨款预算表</w:t>
      </w:r>
    </w:p>
    <w:p w14:paraId="4C53AEA1">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（二十六）经费拨款预算表(政府预算)</w:t>
      </w:r>
    </w:p>
    <w:p w14:paraId="58FCA9D6">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（二十七）专项支出预算表</w:t>
      </w:r>
    </w:p>
    <w:p w14:paraId="6100E24B">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（二十八）一般公共预算“三公”经费预算表</w:t>
      </w:r>
    </w:p>
    <w:p w14:paraId="0730DCE3">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（二十九）政府购买服务预算表</w:t>
      </w:r>
    </w:p>
    <w:p w14:paraId="74EF0542">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（三十）政府采购预算表</w:t>
      </w:r>
    </w:p>
    <w:p w14:paraId="1EFCF776">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（三十一）部门整体支出绩效目标表</w:t>
      </w:r>
    </w:p>
    <w:p w14:paraId="0FD1E1F7">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（三十二）单位专项支出方向绩效目标表</w:t>
      </w:r>
    </w:p>
    <w:p w14:paraId="50EDD836">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p>
    <w:p w14:paraId="126D9A42">
      <w:pPr>
        <w:tabs>
          <w:tab w:val="left" w:pos="7560"/>
        </w:tabs>
        <w:adjustRightInd w:val="0"/>
        <w:snapToGrid w:val="0"/>
        <w:spacing w:line="560" w:lineRule="exact"/>
        <w:ind w:firstLine="640" w:firstLineChars="200"/>
        <w:jc w:val="left"/>
        <w:rPr>
          <w:rFonts w:hint="eastAsia" w:ascii="仿宋_GB2312" w:hAnsi="仿宋_GB2312" w:eastAsia="仿宋_GB2312" w:cs="仿宋_GB2312"/>
          <w:sz w:val="32"/>
          <w:szCs w:val="32"/>
        </w:rPr>
      </w:pPr>
    </w:p>
    <w:p w14:paraId="5EBDBD05">
      <w:pPr>
        <w:tabs>
          <w:tab w:val="left" w:pos="7560"/>
        </w:tabs>
        <w:adjustRightInd w:val="0"/>
        <w:snapToGrid w:val="0"/>
        <w:spacing w:line="560" w:lineRule="exact"/>
        <w:jc w:val="center"/>
        <w:rPr>
          <w:rFonts w:hint="eastAsia" w:ascii="方正小标宋简体" w:eastAsia="方正小标宋简体"/>
          <w:bCs/>
          <w:color w:val="000000"/>
          <w:sz w:val="44"/>
          <w:szCs w:val="44"/>
        </w:rPr>
      </w:pPr>
      <w:r>
        <w:rPr>
          <w:rFonts w:hint="eastAsia" w:ascii="方正小标宋简体" w:eastAsia="方正小标宋简体"/>
          <w:bCs/>
          <w:color w:val="000000"/>
          <w:sz w:val="44"/>
          <w:szCs w:val="44"/>
          <w:lang w:val="en-US" w:eastAsia="zh-CN"/>
        </w:rPr>
        <w:t>荷塘区残疾人联合会2021</w:t>
      </w:r>
      <w:r>
        <w:rPr>
          <w:rFonts w:hint="eastAsia" w:ascii="方正小标宋简体" w:eastAsia="方正小标宋简体"/>
          <w:bCs/>
          <w:color w:val="000000"/>
          <w:sz w:val="44"/>
          <w:szCs w:val="44"/>
        </w:rPr>
        <w:t>年</w:t>
      </w:r>
    </w:p>
    <w:p w14:paraId="29A96BC2">
      <w:pPr>
        <w:tabs>
          <w:tab w:val="left" w:pos="7560"/>
        </w:tabs>
        <w:adjustRightInd w:val="0"/>
        <w:snapToGrid w:val="0"/>
        <w:spacing w:line="560" w:lineRule="exact"/>
        <w:jc w:val="center"/>
        <w:rPr>
          <w:rFonts w:hint="eastAsia" w:ascii="方正小标宋简体" w:eastAsia="方正小标宋简体"/>
          <w:bCs/>
          <w:color w:val="000000"/>
          <w:sz w:val="44"/>
          <w:szCs w:val="44"/>
        </w:rPr>
      </w:pPr>
      <w:r>
        <w:rPr>
          <w:rFonts w:hint="eastAsia" w:ascii="方正小标宋简体" w:eastAsia="方正小标宋简体"/>
          <w:bCs/>
          <w:color w:val="000000"/>
          <w:sz w:val="44"/>
          <w:szCs w:val="44"/>
        </w:rPr>
        <w:t>部门预算公开说明</w:t>
      </w:r>
    </w:p>
    <w:p w14:paraId="42171716">
      <w:pPr>
        <w:numPr>
          <w:ilvl w:val="0"/>
          <w:numId w:val="0"/>
        </w:numPr>
        <w:tabs>
          <w:tab w:val="left" w:pos="7560"/>
        </w:tabs>
        <w:adjustRightInd w:val="0"/>
        <w:snapToGrid w:val="0"/>
        <w:spacing w:line="560" w:lineRule="exact"/>
        <w:jc w:val="left"/>
        <w:rPr>
          <w:rFonts w:hint="eastAsia" w:ascii="仿宋" w:hAnsi="仿宋" w:eastAsia="仿宋" w:cs="仿宋"/>
          <w:b/>
          <w:bCs/>
          <w:sz w:val="32"/>
          <w:szCs w:val="32"/>
          <w:lang w:val="en-US" w:eastAsia="zh-CN"/>
        </w:rPr>
      </w:pPr>
    </w:p>
    <w:p w14:paraId="290F3E4C">
      <w:pPr>
        <w:tabs>
          <w:tab w:val="left" w:pos="7560"/>
        </w:tabs>
        <w:adjustRightInd w:val="0"/>
        <w:snapToGrid w:val="0"/>
        <w:spacing w:line="560" w:lineRule="exact"/>
        <w:ind w:firstLine="640" w:firstLineChars="200"/>
        <w:jc w:val="left"/>
        <w:rPr>
          <w:rFonts w:hint="eastAsia" w:ascii="黑体" w:hAnsi="黑体" w:eastAsia="黑体"/>
          <w:sz w:val="32"/>
          <w:szCs w:val="32"/>
        </w:rPr>
      </w:pPr>
    </w:p>
    <w:p w14:paraId="1E97788F">
      <w:pPr>
        <w:tabs>
          <w:tab w:val="left" w:pos="7560"/>
        </w:tabs>
        <w:adjustRightInd w:val="0"/>
        <w:snapToGrid w:val="0"/>
        <w:spacing w:line="560" w:lineRule="exact"/>
        <w:ind w:firstLine="640" w:firstLineChars="200"/>
        <w:jc w:val="left"/>
        <w:rPr>
          <w:rFonts w:hint="eastAsia" w:ascii="黑体" w:hAnsi="黑体" w:eastAsia="黑体"/>
          <w:sz w:val="32"/>
          <w:szCs w:val="32"/>
        </w:rPr>
      </w:pPr>
      <w:r>
        <w:rPr>
          <w:rFonts w:hint="eastAsia" w:ascii="黑体" w:hAnsi="黑体" w:eastAsia="黑体"/>
          <w:sz w:val="32"/>
          <w:szCs w:val="32"/>
        </w:rPr>
        <w:t>一、 部门职能职责</w:t>
      </w:r>
    </w:p>
    <w:p w14:paraId="4B115596">
      <w:pPr>
        <w:pStyle w:val="2"/>
        <w:keepNext w:val="0"/>
        <w:keepLines w:val="0"/>
        <w:widowControl/>
        <w:suppressLineNumbers w:val="0"/>
        <w:spacing w:before="60" w:beforeAutospacing="0" w:after="60" w:afterAutospacing="0"/>
        <w:ind w:right="0" w:firstLine="640" w:firstLineChars="2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株洲市荷塘区</w:t>
      </w:r>
      <w:r>
        <w:rPr>
          <w:rFonts w:hint="eastAsia" w:ascii="仿宋_GB2312" w:hAnsi="仿宋_GB2312" w:eastAsia="仿宋_GB2312" w:cs="仿宋_GB2312"/>
          <w:i w:val="0"/>
          <w:caps w:val="0"/>
          <w:color w:val="000000"/>
          <w:spacing w:val="0"/>
          <w:sz w:val="32"/>
          <w:szCs w:val="32"/>
          <w:lang w:eastAsia="zh-CN"/>
        </w:rPr>
        <w:t>残疾</w:t>
      </w:r>
      <w:r>
        <w:rPr>
          <w:rFonts w:hint="eastAsia" w:ascii="仿宋_GB2312" w:hAnsi="仿宋_GB2312" w:eastAsia="仿宋_GB2312" w:cs="仿宋_GB2312"/>
          <w:i w:val="0"/>
          <w:caps w:val="0"/>
          <w:color w:val="000000"/>
          <w:spacing w:val="0"/>
          <w:sz w:val="32"/>
          <w:szCs w:val="32"/>
        </w:rPr>
        <w:t>人联合会是区人民政府区直部门，主要职能职责是：</w:t>
      </w:r>
    </w:p>
    <w:p w14:paraId="3E54D1F3">
      <w:pPr>
        <w:pStyle w:val="2"/>
        <w:keepNext w:val="0"/>
        <w:keepLines w:val="0"/>
        <w:widowControl/>
        <w:suppressLineNumbers w:val="0"/>
        <w:spacing w:before="60" w:beforeAutospacing="0" w:after="60" w:afterAutospacing="0"/>
        <w:ind w:right="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一）宣传贯彻《中华人民共和国残疾人保障法》，维护残疾人在政治、经济、文化、社会和家庭生活等方面同其他公民平等的权利，密切联系残疾人，听取残疾人意见，反映残疾人需求，全心全意为残疾人服务。</w:t>
      </w:r>
    </w:p>
    <w:p w14:paraId="290B938B">
      <w:pPr>
        <w:pStyle w:val="2"/>
        <w:keepNext w:val="0"/>
        <w:keepLines w:val="0"/>
        <w:widowControl/>
        <w:suppressLineNumbers w:val="0"/>
        <w:spacing w:before="60" w:beforeAutospacing="0" w:after="60" w:afterAutospacing="0"/>
        <w:ind w:right="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（二）弘扬人道主义，宣传残疾人事业，沟通政府、社会与残疾人之间的联系，动员社会理解、尊重、关心、帮助残疾人。</w:t>
      </w:r>
    </w:p>
    <w:p w14:paraId="4897C57A">
      <w:pPr>
        <w:pStyle w:val="2"/>
        <w:keepNext w:val="0"/>
        <w:keepLines w:val="0"/>
        <w:widowControl/>
        <w:suppressLineNumbers w:val="0"/>
        <w:spacing w:before="60" w:beforeAutospacing="0" w:after="60" w:afterAutospacing="0"/>
        <w:ind w:right="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（三）团结、教育残疾人遵守法律，履行应尽义务，发扬乐观进取精神，自尊、自信、自强、自立，为全面建</w:t>
      </w:r>
      <w:r>
        <w:rPr>
          <w:rFonts w:hint="eastAsia" w:ascii="仿宋_GB2312" w:hAnsi="仿宋_GB2312" w:eastAsia="仿宋_GB2312" w:cs="仿宋_GB2312"/>
          <w:i w:val="0"/>
          <w:caps w:val="0"/>
          <w:color w:val="000000"/>
          <w:spacing w:val="0"/>
          <w:sz w:val="32"/>
          <w:szCs w:val="32"/>
          <w:lang w:val="en-US" w:eastAsia="zh-CN"/>
        </w:rPr>
        <w:t>成</w:t>
      </w:r>
      <w:bookmarkStart w:id="0" w:name="_GoBack"/>
      <w:bookmarkEnd w:id="0"/>
      <w:r>
        <w:rPr>
          <w:rFonts w:hint="eastAsia" w:ascii="仿宋_GB2312" w:hAnsi="仿宋_GB2312" w:eastAsia="仿宋_GB2312" w:cs="仿宋_GB2312"/>
          <w:i w:val="0"/>
          <w:caps w:val="0"/>
          <w:color w:val="000000"/>
          <w:spacing w:val="0"/>
          <w:sz w:val="32"/>
          <w:szCs w:val="32"/>
        </w:rPr>
        <w:t>小康社会，推进现代化建设贡献力量。</w:t>
      </w:r>
    </w:p>
    <w:p w14:paraId="1826ADBE">
      <w:pPr>
        <w:pStyle w:val="2"/>
        <w:keepNext w:val="0"/>
        <w:keepLines w:val="0"/>
        <w:widowControl/>
        <w:suppressLineNumbers w:val="0"/>
        <w:spacing w:before="60" w:beforeAutospacing="0" w:after="60" w:afterAutospacing="0"/>
        <w:ind w:right="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（四）协助政府研究、制定和实施残疾人事业的法规、政策、规划和计划，对有关业务领域进行指导和管理。</w:t>
      </w:r>
    </w:p>
    <w:p w14:paraId="31498C1E">
      <w:pPr>
        <w:numPr>
          <w:ilvl w:val="0"/>
          <w:numId w:val="0"/>
        </w:numPr>
        <w:tabs>
          <w:tab w:val="left" w:pos="7560"/>
        </w:tabs>
        <w:adjustRightInd w:val="0"/>
        <w:snapToGrid w:val="0"/>
        <w:spacing w:line="560" w:lineRule="exact"/>
        <w:jc w:val="left"/>
        <w:rPr>
          <w:rFonts w:hint="eastAsia" w:ascii="仿宋" w:hAnsi="仿宋" w:eastAsia="仿宋" w:cs="仿宋"/>
          <w:sz w:val="32"/>
          <w:szCs w:val="32"/>
        </w:rPr>
      </w:pPr>
      <w:r>
        <w:rPr>
          <w:rFonts w:hint="eastAsia" w:ascii="仿宋_GB2312" w:hAnsi="仿宋_GB2312" w:eastAsia="仿宋_GB2312" w:cs="仿宋_GB2312"/>
          <w:i w:val="0"/>
          <w:caps w:val="0"/>
          <w:color w:val="000000"/>
          <w:spacing w:val="0"/>
          <w:sz w:val="32"/>
          <w:szCs w:val="32"/>
        </w:rPr>
        <w:t>　　（五）开展残疾人康复、教育、劳动就业、扶贫、文化、体育、科研、用品用具供应、福利、社会服务、无障碍设施</w:t>
      </w:r>
    </w:p>
    <w:p w14:paraId="37303C98">
      <w:pPr>
        <w:tabs>
          <w:tab w:val="left" w:pos="7560"/>
        </w:tabs>
        <w:adjustRightInd w:val="0"/>
        <w:snapToGrid w:val="0"/>
        <w:spacing w:line="560" w:lineRule="exact"/>
        <w:ind w:firstLine="640" w:firstLineChars="200"/>
        <w:jc w:val="left"/>
        <w:rPr>
          <w:rFonts w:hint="eastAsia" w:ascii="仿宋_GB2312" w:eastAsia="仿宋_GB2312"/>
          <w:sz w:val="32"/>
          <w:szCs w:val="32"/>
        </w:rPr>
      </w:pPr>
    </w:p>
    <w:p w14:paraId="46B0C89D">
      <w:pPr>
        <w:tabs>
          <w:tab w:val="left" w:pos="7560"/>
        </w:tabs>
        <w:adjustRightInd w:val="0"/>
        <w:snapToGrid w:val="0"/>
        <w:spacing w:line="560" w:lineRule="exact"/>
        <w:ind w:firstLine="640" w:firstLineChars="200"/>
        <w:jc w:val="left"/>
        <w:rPr>
          <w:rFonts w:hint="eastAsia" w:ascii="黑体" w:hAnsi="黑体" w:eastAsia="黑体"/>
          <w:color w:val="000000"/>
          <w:sz w:val="32"/>
          <w:szCs w:val="32"/>
        </w:rPr>
      </w:pPr>
      <w:r>
        <w:rPr>
          <w:rFonts w:hint="eastAsia" w:ascii="黑体" w:hAnsi="黑体" w:eastAsia="黑体"/>
          <w:color w:val="000000"/>
          <w:sz w:val="32"/>
          <w:szCs w:val="32"/>
        </w:rPr>
        <w:t>二、机构设置</w:t>
      </w:r>
    </w:p>
    <w:p w14:paraId="0E39B03C">
      <w:pPr>
        <w:tabs>
          <w:tab w:val="left" w:pos="7560"/>
        </w:tabs>
        <w:adjustRightInd w:val="0"/>
        <w:snapToGrid w:val="0"/>
        <w:spacing w:line="560" w:lineRule="exact"/>
        <w:ind w:firstLine="640" w:firstLineChars="200"/>
        <w:jc w:val="left"/>
        <w:rPr>
          <w:rFonts w:hint="eastAsia" w:ascii="仿宋_GB2312" w:eastAsia="仿宋_GB2312"/>
          <w:color w:val="000000"/>
          <w:sz w:val="32"/>
          <w:szCs w:val="32"/>
        </w:rPr>
      </w:pPr>
      <w:r>
        <w:rPr>
          <w:rFonts w:hint="eastAsia" w:ascii="仿宋_GB2312" w:eastAsia="仿宋_GB2312"/>
          <w:bCs/>
          <w:color w:val="000000"/>
          <w:sz w:val="32"/>
          <w:szCs w:val="32"/>
        </w:rPr>
        <w:t> </w:t>
      </w:r>
      <w:r>
        <w:rPr>
          <w:rFonts w:hint="eastAsia" w:ascii="仿宋_GB2312" w:hAnsi="仿宋_GB2312" w:eastAsia="仿宋_GB2312" w:cs="仿宋_GB2312"/>
          <w:i w:val="0"/>
          <w:caps w:val="0"/>
          <w:color w:val="auto"/>
          <w:spacing w:val="0"/>
          <w:sz w:val="32"/>
          <w:szCs w:val="32"/>
        </w:rPr>
        <w:t>我单位</w:t>
      </w:r>
      <w:r>
        <w:rPr>
          <w:rFonts w:hint="eastAsia" w:ascii="仿宋_GB2312" w:hAnsi="仿宋_GB2312" w:eastAsia="仿宋_GB2312" w:cs="仿宋_GB2312"/>
          <w:i w:val="0"/>
          <w:caps w:val="0"/>
          <w:color w:val="auto"/>
          <w:spacing w:val="0"/>
          <w:sz w:val="32"/>
          <w:szCs w:val="32"/>
          <w:lang w:eastAsia="zh-CN"/>
        </w:rPr>
        <w:t>参照公务员管理</w:t>
      </w:r>
      <w:r>
        <w:rPr>
          <w:rFonts w:hint="eastAsia" w:ascii="仿宋_GB2312" w:hAnsi="仿宋_GB2312" w:eastAsia="仿宋_GB2312" w:cs="仿宋_GB2312"/>
          <w:i w:val="0"/>
          <w:caps w:val="0"/>
          <w:color w:val="auto"/>
          <w:spacing w:val="0"/>
          <w:sz w:val="32"/>
          <w:szCs w:val="32"/>
        </w:rPr>
        <w:t>编制4名。领导职数：理事长1名，副理事长1名，</w:t>
      </w:r>
      <w:r>
        <w:rPr>
          <w:rFonts w:hint="eastAsia" w:ascii="仿宋_GB2312" w:hAnsi="仿宋_GB2312" w:eastAsia="仿宋_GB2312" w:cs="仿宋_GB2312"/>
          <w:i w:val="0"/>
          <w:caps w:val="0"/>
          <w:color w:val="auto"/>
          <w:spacing w:val="0"/>
          <w:sz w:val="32"/>
          <w:szCs w:val="32"/>
          <w:lang w:eastAsia="zh-CN"/>
        </w:rPr>
        <w:t>实有人数</w:t>
      </w:r>
      <w:r>
        <w:rPr>
          <w:rFonts w:hint="eastAsia" w:ascii="仿宋_GB2312" w:hAnsi="仿宋_GB2312" w:eastAsia="仿宋_GB2312" w:cs="仿宋_GB2312"/>
          <w:i w:val="0"/>
          <w:caps w:val="0"/>
          <w:color w:val="auto"/>
          <w:spacing w:val="0"/>
          <w:sz w:val="32"/>
          <w:szCs w:val="32"/>
          <w:lang w:val="en-US" w:eastAsia="zh-CN"/>
        </w:rPr>
        <w:t>6名。</w:t>
      </w:r>
    </w:p>
    <w:p w14:paraId="244D09D3">
      <w:pPr>
        <w:tabs>
          <w:tab w:val="left" w:pos="7560"/>
        </w:tabs>
        <w:adjustRightInd w:val="0"/>
        <w:snapToGrid w:val="0"/>
        <w:spacing w:line="560" w:lineRule="exact"/>
        <w:ind w:firstLine="640" w:firstLineChars="200"/>
        <w:jc w:val="left"/>
        <w:rPr>
          <w:rFonts w:hint="eastAsia" w:ascii="黑体" w:hAnsi="黑体" w:eastAsia="黑体"/>
          <w:color w:val="000000"/>
          <w:sz w:val="32"/>
          <w:szCs w:val="32"/>
        </w:rPr>
      </w:pPr>
      <w:r>
        <w:rPr>
          <w:rFonts w:hint="eastAsia" w:ascii="黑体" w:hAnsi="黑体" w:eastAsia="黑体"/>
          <w:color w:val="000000"/>
          <w:sz w:val="32"/>
          <w:szCs w:val="32"/>
        </w:rPr>
        <w:t>三、 部门收支概况</w:t>
      </w:r>
    </w:p>
    <w:p w14:paraId="2921FF0F">
      <w:pPr>
        <w:pStyle w:val="2"/>
        <w:keepNext w:val="0"/>
        <w:keepLines w:val="0"/>
        <w:widowControl/>
        <w:suppressLineNumbers w:val="0"/>
        <w:spacing w:before="60" w:beforeAutospacing="0" w:after="60" w:afterAutospacing="0"/>
        <w:ind w:left="0" w:right="0" w:firstLine="640" w:firstLineChars="20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20</w:t>
      </w:r>
      <w:r>
        <w:rPr>
          <w:rFonts w:hint="eastAsia" w:ascii="仿宋_GB2312" w:hAnsi="仿宋_GB2312" w:eastAsia="仿宋_GB2312" w:cs="仿宋_GB2312"/>
          <w:i w:val="0"/>
          <w:caps w:val="0"/>
          <w:color w:val="000000"/>
          <w:spacing w:val="0"/>
          <w:sz w:val="32"/>
          <w:szCs w:val="32"/>
          <w:lang w:val="en-US" w:eastAsia="zh-CN"/>
        </w:rPr>
        <w:t>21</w:t>
      </w:r>
      <w:r>
        <w:rPr>
          <w:rFonts w:hint="eastAsia" w:ascii="仿宋_GB2312" w:hAnsi="仿宋_GB2312" w:eastAsia="仿宋_GB2312" w:cs="仿宋_GB2312"/>
          <w:i w:val="0"/>
          <w:caps w:val="0"/>
          <w:color w:val="000000"/>
          <w:spacing w:val="0"/>
          <w:sz w:val="32"/>
          <w:szCs w:val="32"/>
        </w:rPr>
        <w:t>年部门预算编报范围：收入包括公共预算和政府性基金收入等；支出主要包括保障机关基本运行的经费。</w:t>
      </w:r>
    </w:p>
    <w:p w14:paraId="716D3E17">
      <w:pPr>
        <w:pStyle w:val="2"/>
        <w:keepNext w:val="0"/>
        <w:keepLines w:val="0"/>
        <w:widowControl/>
        <w:suppressLineNumbers w:val="0"/>
        <w:spacing w:before="60" w:beforeAutospacing="0" w:after="60" w:afterAutospacing="0"/>
        <w:ind w:left="0" w:right="0" w:firstLine="0"/>
        <w:rPr>
          <w:rFonts w:hint="eastAsia" w:ascii="仿宋_GB2312" w:hAnsi="仿宋_GB2312" w:eastAsia="仿宋_GB2312" w:cs="仿宋_GB2312"/>
          <w:i w:val="0"/>
          <w:caps w:val="0"/>
          <w:color w:val="000000"/>
          <w:spacing w:val="0"/>
          <w:sz w:val="32"/>
          <w:szCs w:val="32"/>
        </w:rPr>
      </w:pPr>
      <w:r>
        <w:rPr>
          <w:rFonts w:hint="eastAsia" w:ascii="仿宋_GB2312" w:hAnsi="仿宋_GB2312" w:eastAsia="仿宋_GB2312" w:cs="仿宋_GB2312"/>
          <w:i w:val="0"/>
          <w:caps w:val="0"/>
          <w:color w:val="000000"/>
          <w:spacing w:val="0"/>
          <w:sz w:val="32"/>
          <w:szCs w:val="32"/>
        </w:rPr>
        <w:t>　　（一）收入预算：20</w:t>
      </w:r>
      <w:r>
        <w:rPr>
          <w:rFonts w:hint="eastAsia" w:ascii="仿宋_GB2312" w:hAnsi="仿宋_GB2312" w:eastAsia="仿宋_GB2312" w:cs="仿宋_GB2312"/>
          <w:i w:val="0"/>
          <w:caps w:val="0"/>
          <w:color w:val="000000"/>
          <w:spacing w:val="0"/>
          <w:sz w:val="32"/>
          <w:szCs w:val="32"/>
          <w:lang w:val="en-US" w:eastAsia="zh-CN"/>
        </w:rPr>
        <w:t>21</w:t>
      </w:r>
      <w:r>
        <w:rPr>
          <w:rFonts w:hint="eastAsia" w:ascii="仿宋_GB2312" w:hAnsi="仿宋_GB2312" w:eastAsia="仿宋_GB2312" w:cs="仿宋_GB2312"/>
          <w:i w:val="0"/>
          <w:caps w:val="0"/>
          <w:color w:val="000000"/>
          <w:spacing w:val="0"/>
          <w:sz w:val="32"/>
          <w:szCs w:val="32"/>
        </w:rPr>
        <w:t>年年初预算数</w:t>
      </w:r>
      <w:r>
        <w:rPr>
          <w:rFonts w:hint="eastAsia" w:ascii="仿宋_GB2312" w:hAnsi="仿宋_GB2312" w:eastAsia="仿宋_GB2312" w:cs="仿宋_GB2312"/>
          <w:i w:val="0"/>
          <w:caps w:val="0"/>
          <w:color w:val="000000"/>
          <w:spacing w:val="0"/>
          <w:sz w:val="32"/>
          <w:szCs w:val="32"/>
          <w:lang w:val="en-US" w:eastAsia="zh-CN"/>
        </w:rPr>
        <w:t>351.31</w:t>
      </w:r>
      <w:r>
        <w:rPr>
          <w:rFonts w:hint="eastAsia" w:ascii="仿宋_GB2312" w:hAnsi="仿宋_GB2312" w:eastAsia="仿宋_GB2312" w:cs="仿宋_GB2312"/>
          <w:i w:val="0"/>
          <w:caps w:val="0"/>
          <w:color w:val="000000"/>
          <w:spacing w:val="0"/>
          <w:sz w:val="32"/>
          <w:szCs w:val="32"/>
        </w:rPr>
        <w:t>万元，其中，一般公共预算拨款</w:t>
      </w:r>
      <w:r>
        <w:rPr>
          <w:rFonts w:hint="eastAsia" w:ascii="仿宋_GB2312" w:hAnsi="仿宋_GB2312" w:eastAsia="仿宋_GB2312" w:cs="仿宋_GB2312"/>
          <w:i w:val="0"/>
          <w:caps w:val="0"/>
          <w:color w:val="000000"/>
          <w:spacing w:val="0"/>
          <w:sz w:val="32"/>
          <w:szCs w:val="32"/>
          <w:lang w:val="en-US" w:eastAsia="zh-CN"/>
        </w:rPr>
        <w:t>351.31</w:t>
      </w:r>
      <w:r>
        <w:rPr>
          <w:rFonts w:hint="eastAsia" w:ascii="仿宋_GB2312" w:hAnsi="仿宋_GB2312" w:eastAsia="仿宋_GB2312" w:cs="仿宋_GB2312"/>
          <w:i w:val="0"/>
          <w:caps w:val="0"/>
          <w:color w:val="000000"/>
          <w:spacing w:val="0"/>
          <w:sz w:val="32"/>
          <w:szCs w:val="32"/>
        </w:rPr>
        <w:t>万元；政府性基金拨款</w:t>
      </w:r>
      <w:r>
        <w:rPr>
          <w:rFonts w:hint="eastAsia" w:ascii="仿宋_GB2312" w:hAnsi="仿宋_GB2312" w:eastAsia="仿宋_GB2312" w:cs="仿宋_GB2312"/>
          <w:i w:val="0"/>
          <w:caps w:val="0"/>
          <w:color w:val="000000"/>
          <w:spacing w:val="0"/>
          <w:sz w:val="32"/>
          <w:szCs w:val="32"/>
          <w:lang w:val="en-US" w:eastAsia="zh-CN"/>
        </w:rPr>
        <w:t>0</w:t>
      </w:r>
      <w:r>
        <w:rPr>
          <w:rFonts w:hint="eastAsia" w:ascii="仿宋_GB2312" w:hAnsi="仿宋_GB2312" w:eastAsia="仿宋_GB2312" w:cs="仿宋_GB2312"/>
          <w:i w:val="0"/>
          <w:caps w:val="0"/>
          <w:color w:val="000000"/>
          <w:spacing w:val="0"/>
          <w:sz w:val="32"/>
          <w:szCs w:val="32"/>
        </w:rPr>
        <w:t>万元；财政专户管理的非税收入拨款</w:t>
      </w:r>
      <w:r>
        <w:rPr>
          <w:rFonts w:hint="eastAsia" w:ascii="仿宋_GB2312" w:hAnsi="仿宋_GB2312" w:eastAsia="仿宋_GB2312" w:cs="仿宋_GB2312"/>
          <w:i w:val="0"/>
          <w:caps w:val="0"/>
          <w:color w:val="000000"/>
          <w:spacing w:val="0"/>
          <w:sz w:val="32"/>
          <w:szCs w:val="32"/>
          <w:lang w:val="en-US" w:eastAsia="zh-CN"/>
        </w:rPr>
        <w:t>0</w:t>
      </w:r>
      <w:r>
        <w:rPr>
          <w:rFonts w:hint="eastAsia" w:ascii="仿宋_GB2312" w:hAnsi="仿宋_GB2312" w:eastAsia="仿宋_GB2312" w:cs="仿宋_GB2312"/>
          <w:i w:val="0"/>
          <w:caps w:val="0"/>
          <w:color w:val="000000"/>
          <w:spacing w:val="0"/>
          <w:sz w:val="32"/>
          <w:szCs w:val="32"/>
        </w:rPr>
        <w:t>万元；其他收入</w:t>
      </w:r>
      <w:r>
        <w:rPr>
          <w:rFonts w:hint="eastAsia" w:ascii="仿宋_GB2312" w:hAnsi="仿宋_GB2312" w:eastAsia="仿宋_GB2312" w:cs="仿宋_GB2312"/>
          <w:i w:val="0"/>
          <w:caps w:val="0"/>
          <w:color w:val="000000"/>
          <w:spacing w:val="0"/>
          <w:sz w:val="32"/>
          <w:szCs w:val="32"/>
          <w:lang w:val="en-US" w:eastAsia="zh-CN"/>
        </w:rPr>
        <w:t>0</w:t>
      </w:r>
      <w:r>
        <w:rPr>
          <w:rFonts w:hint="eastAsia" w:ascii="仿宋_GB2312" w:hAnsi="仿宋_GB2312" w:eastAsia="仿宋_GB2312" w:cs="仿宋_GB2312"/>
          <w:i w:val="0"/>
          <w:caps w:val="0"/>
          <w:color w:val="000000"/>
          <w:spacing w:val="0"/>
          <w:sz w:val="32"/>
          <w:szCs w:val="32"/>
        </w:rPr>
        <w:t>万元；因上年结转数暂未最终确定，本年度收支预算中均不含上年结转数字。</w:t>
      </w:r>
    </w:p>
    <w:p w14:paraId="74277876">
      <w:pPr>
        <w:tabs>
          <w:tab w:val="left" w:pos="7560"/>
        </w:tabs>
        <w:adjustRightInd w:val="0"/>
        <w:snapToGrid w:val="0"/>
        <w:spacing w:line="560" w:lineRule="exact"/>
        <w:ind w:firstLine="640" w:firstLineChars="200"/>
        <w:jc w:val="left"/>
        <w:rPr>
          <w:rFonts w:hint="eastAsia" w:ascii="仿宋" w:hAnsi="仿宋" w:eastAsia="仿宋" w:cs="仿宋"/>
          <w:sz w:val="32"/>
          <w:szCs w:val="32"/>
        </w:rPr>
      </w:pPr>
      <w:r>
        <w:rPr>
          <w:rFonts w:hint="eastAsia" w:ascii="仿宋" w:hAnsi="仿宋" w:eastAsia="仿宋" w:cs="仿宋"/>
          <w:sz w:val="32"/>
          <w:szCs w:val="32"/>
        </w:rPr>
        <w:t>（二）支出预算</w:t>
      </w:r>
    </w:p>
    <w:p w14:paraId="1DB08E4E">
      <w:pPr>
        <w:pStyle w:val="2"/>
        <w:keepNext w:val="0"/>
        <w:keepLines w:val="0"/>
        <w:widowControl/>
        <w:suppressLineNumbers w:val="0"/>
        <w:spacing w:before="60" w:beforeAutospacing="0" w:after="60" w:afterAutospacing="0"/>
        <w:ind w:left="0" w:right="0" w:firstLine="0"/>
        <w:rPr>
          <w:rFonts w:hint="eastAsia" w:ascii="仿宋_GB2312" w:hAnsi="仿宋_GB2312" w:eastAsia="仿宋_GB2312" w:cs="仿宋_GB2312"/>
          <w:i w:val="0"/>
          <w:caps w:val="0"/>
          <w:color w:val="000000"/>
          <w:spacing w:val="0"/>
          <w:sz w:val="32"/>
          <w:szCs w:val="32"/>
          <w:lang w:val="en-US" w:eastAsia="zh-CN"/>
        </w:rPr>
      </w:pPr>
      <w:r>
        <w:rPr>
          <w:rFonts w:hint="eastAsia" w:ascii="仿宋_GB2312" w:hAnsi="仿宋_GB2312" w:eastAsia="仿宋_GB2312" w:cs="仿宋_GB2312"/>
          <w:i w:val="0"/>
          <w:caps w:val="0"/>
          <w:color w:val="000000"/>
          <w:spacing w:val="0"/>
          <w:sz w:val="32"/>
          <w:szCs w:val="32"/>
        </w:rPr>
        <w:t>20</w:t>
      </w:r>
      <w:r>
        <w:rPr>
          <w:rFonts w:hint="eastAsia" w:ascii="仿宋_GB2312" w:hAnsi="仿宋_GB2312" w:eastAsia="仿宋_GB2312" w:cs="仿宋_GB2312"/>
          <w:i w:val="0"/>
          <w:caps w:val="0"/>
          <w:color w:val="000000"/>
          <w:spacing w:val="0"/>
          <w:sz w:val="32"/>
          <w:szCs w:val="32"/>
          <w:lang w:val="en-US" w:eastAsia="zh-CN"/>
        </w:rPr>
        <w:t>21</w:t>
      </w:r>
      <w:r>
        <w:rPr>
          <w:rFonts w:hint="eastAsia" w:ascii="仿宋_GB2312" w:hAnsi="仿宋_GB2312" w:eastAsia="仿宋_GB2312" w:cs="仿宋_GB2312"/>
          <w:i w:val="0"/>
          <w:caps w:val="0"/>
          <w:color w:val="000000"/>
          <w:spacing w:val="0"/>
          <w:sz w:val="32"/>
          <w:szCs w:val="32"/>
        </w:rPr>
        <w:t>年年初预算数</w:t>
      </w:r>
      <w:r>
        <w:rPr>
          <w:rFonts w:hint="eastAsia" w:ascii="仿宋_GB2312" w:hAnsi="仿宋_GB2312" w:eastAsia="仿宋_GB2312" w:cs="仿宋_GB2312"/>
          <w:i w:val="0"/>
          <w:caps w:val="0"/>
          <w:color w:val="000000"/>
          <w:spacing w:val="0"/>
          <w:sz w:val="32"/>
          <w:szCs w:val="32"/>
          <w:lang w:val="en-US" w:eastAsia="zh-CN"/>
        </w:rPr>
        <w:t>351.31</w:t>
      </w:r>
      <w:r>
        <w:rPr>
          <w:rFonts w:hint="eastAsia" w:ascii="仿宋_GB2312" w:hAnsi="仿宋_GB2312" w:eastAsia="仿宋_GB2312" w:cs="仿宋_GB2312"/>
          <w:i w:val="0"/>
          <w:caps w:val="0"/>
          <w:color w:val="000000"/>
          <w:spacing w:val="0"/>
          <w:sz w:val="32"/>
          <w:szCs w:val="32"/>
        </w:rPr>
        <w:t>万元，其中，一般公共服务支出</w:t>
      </w:r>
      <w:r>
        <w:rPr>
          <w:rFonts w:hint="eastAsia" w:ascii="仿宋_GB2312" w:hAnsi="仿宋_GB2312" w:eastAsia="仿宋_GB2312" w:cs="仿宋_GB2312"/>
          <w:i w:val="0"/>
          <w:caps w:val="0"/>
          <w:color w:val="000000"/>
          <w:spacing w:val="0"/>
          <w:sz w:val="32"/>
          <w:szCs w:val="32"/>
          <w:lang w:val="en-US" w:eastAsia="zh-CN"/>
        </w:rPr>
        <w:t>0</w:t>
      </w:r>
      <w:r>
        <w:rPr>
          <w:rFonts w:hint="eastAsia" w:ascii="仿宋_GB2312" w:hAnsi="仿宋_GB2312" w:eastAsia="仿宋_GB2312" w:cs="仿宋_GB2312"/>
          <w:i w:val="0"/>
          <w:caps w:val="0"/>
          <w:color w:val="000000"/>
          <w:spacing w:val="0"/>
          <w:sz w:val="32"/>
          <w:szCs w:val="32"/>
        </w:rPr>
        <w:t>万元</w:t>
      </w:r>
      <w:r>
        <w:rPr>
          <w:rFonts w:hint="eastAsia" w:ascii="仿宋_GB2312" w:hAnsi="仿宋_GB2312" w:eastAsia="仿宋_GB2312" w:cs="仿宋_GB2312"/>
          <w:i w:val="0"/>
          <w:caps w:val="0"/>
          <w:color w:val="000000"/>
          <w:spacing w:val="0"/>
          <w:sz w:val="32"/>
          <w:szCs w:val="32"/>
          <w:lang w:eastAsia="zh-CN"/>
        </w:rPr>
        <w:t>，社会保障和就业支出</w:t>
      </w:r>
      <w:r>
        <w:rPr>
          <w:rFonts w:hint="eastAsia" w:ascii="仿宋_GB2312" w:hAnsi="仿宋_GB2312" w:eastAsia="仿宋_GB2312" w:cs="仿宋_GB2312"/>
          <w:i w:val="0"/>
          <w:caps w:val="0"/>
          <w:color w:val="000000"/>
          <w:spacing w:val="0"/>
          <w:sz w:val="32"/>
          <w:szCs w:val="32"/>
          <w:lang w:val="en-US" w:eastAsia="zh-CN"/>
        </w:rPr>
        <w:t>351.31万元。</w:t>
      </w:r>
    </w:p>
    <w:p w14:paraId="38DED8C6">
      <w:pPr>
        <w:tabs>
          <w:tab w:val="left" w:pos="7560"/>
        </w:tabs>
        <w:adjustRightInd w:val="0"/>
        <w:snapToGrid w:val="0"/>
        <w:spacing w:line="560" w:lineRule="exact"/>
        <w:ind w:firstLine="640" w:firstLineChars="200"/>
        <w:jc w:val="left"/>
        <w:rPr>
          <w:rFonts w:hint="eastAsia" w:ascii="仿宋_GB2312" w:eastAsia="仿宋_GB2312"/>
          <w:color w:val="000000"/>
          <w:sz w:val="32"/>
          <w:szCs w:val="32"/>
        </w:rPr>
      </w:pPr>
      <w:r>
        <w:rPr>
          <w:rFonts w:hint="eastAsia" w:ascii="仿宋_GB2312" w:hAnsi="仿宋_GB2312" w:eastAsia="仿宋_GB2312" w:cs="仿宋_GB2312"/>
          <w:i w:val="0"/>
          <w:caps w:val="0"/>
          <w:color w:val="000000"/>
          <w:spacing w:val="0"/>
          <w:sz w:val="32"/>
          <w:szCs w:val="32"/>
        </w:rPr>
        <w:t>　</w:t>
      </w:r>
      <w:r>
        <w:rPr>
          <w:rFonts w:hint="eastAsia" w:ascii="仿宋_GB2312" w:eastAsia="仿宋_GB2312"/>
          <w:color w:val="000000"/>
          <w:sz w:val="32"/>
          <w:szCs w:val="32"/>
        </w:rPr>
        <w:t>具体安排如下：</w:t>
      </w:r>
    </w:p>
    <w:p w14:paraId="01989324">
      <w:pPr>
        <w:tabs>
          <w:tab w:val="left" w:pos="7560"/>
        </w:tabs>
        <w:adjustRightInd w:val="0"/>
        <w:snapToGrid w:val="0"/>
        <w:spacing w:line="560" w:lineRule="exact"/>
        <w:ind w:firstLine="643" w:firstLineChars="200"/>
        <w:jc w:val="left"/>
        <w:rPr>
          <w:rFonts w:hint="eastAsia" w:ascii="仿宋_GB2312" w:eastAsia="仿宋_GB2312"/>
          <w:color w:val="000000"/>
          <w:sz w:val="32"/>
          <w:szCs w:val="32"/>
        </w:rPr>
      </w:pPr>
      <w:r>
        <w:rPr>
          <w:rFonts w:hint="eastAsia" w:ascii="仿宋_GB2312" w:eastAsia="仿宋_GB2312"/>
          <w:b/>
          <w:color w:val="000000"/>
          <w:sz w:val="32"/>
          <w:szCs w:val="32"/>
        </w:rPr>
        <w:t>1.基本支出：</w:t>
      </w:r>
      <w:r>
        <w:rPr>
          <w:rFonts w:hint="eastAsia" w:ascii="仿宋_GB2312" w:eastAsia="仿宋_GB2312"/>
          <w:color w:val="000000"/>
          <w:sz w:val="32"/>
          <w:szCs w:val="32"/>
          <w:lang w:val="en-US" w:eastAsia="zh-CN"/>
        </w:rPr>
        <w:t>2021</w:t>
      </w:r>
      <w:r>
        <w:rPr>
          <w:rFonts w:hint="eastAsia" w:ascii="仿宋_GB2312" w:eastAsia="仿宋_GB2312"/>
          <w:color w:val="000000"/>
          <w:sz w:val="32"/>
          <w:szCs w:val="32"/>
        </w:rPr>
        <w:t>年年初预算数为</w:t>
      </w:r>
      <w:r>
        <w:rPr>
          <w:rFonts w:hint="eastAsia" w:ascii="仿宋_GB2312" w:eastAsia="仿宋_GB2312"/>
          <w:color w:val="000000"/>
          <w:sz w:val="32"/>
          <w:szCs w:val="32"/>
          <w:lang w:val="en-US" w:eastAsia="zh-CN"/>
        </w:rPr>
        <w:t>105.31</w:t>
      </w:r>
      <w:r>
        <w:rPr>
          <w:rFonts w:hint="eastAsia" w:ascii="仿宋_GB2312" w:eastAsia="仿宋_GB2312"/>
          <w:color w:val="000000"/>
          <w:sz w:val="32"/>
          <w:szCs w:val="32"/>
        </w:rPr>
        <w:t>万元，是指为保障单位机构正常运转、完成日常工作任务而发生的各项支出，包括用于基本工资、津贴补贴等人员经费以及日常公用经费、业务性商品和服务支出。其中包括基本工资</w:t>
      </w:r>
      <w:r>
        <w:rPr>
          <w:rFonts w:hint="eastAsia" w:ascii="仿宋_GB2312" w:eastAsia="仿宋_GB2312"/>
          <w:color w:val="000000"/>
          <w:sz w:val="32"/>
          <w:szCs w:val="32"/>
          <w:lang w:val="en-US" w:eastAsia="zh-CN"/>
        </w:rPr>
        <w:t>25.97</w:t>
      </w:r>
      <w:r>
        <w:rPr>
          <w:rFonts w:hint="eastAsia" w:ascii="仿宋_GB2312" w:eastAsia="仿宋_GB2312"/>
          <w:color w:val="000000"/>
          <w:sz w:val="32"/>
          <w:szCs w:val="32"/>
        </w:rPr>
        <w:t>万元、津贴补贴</w:t>
      </w:r>
      <w:r>
        <w:rPr>
          <w:rFonts w:hint="eastAsia" w:ascii="仿宋_GB2312" w:eastAsia="仿宋_GB2312"/>
          <w:color w:val="000000"/>
          <w:sz w:val="32"/>
          <w:szCs w:val="32"/>
          <w:lang w:val="en-US" w:eastAsia="zh-CN"/>
        </w:rPr>
        <w:t>16.94</w:t>
      </w:r>
      <w:r>
        <w:rPr>
          <w:rFonts w:hint="eastAsia" w:ascii="仿宋_GB2312" w:eastAsia="仿宋_GB2312"/>
          <w:color w:val="000000"/>
          <w:sz w:val="32"/>
          <w:szCs w:val="32"/>
        </w:rPr>
        <w:t>万元、奖金</w:t>
      </w:r>
      <w:r>
        <w:rPr>
          <w:rFonts w:hint="eastAsia" w:ascii="仿宋_GB2312" w:eastAsia="仿宋_GB2312"/>
          <w:color w:val="000000"/>
          <w:sz w:val="32"/>
          <w:szCs w:val="32"/>
          <w:lang w:val="en-US" w:eastAsia="zh-CN"/>
        </w:rPr>
        <w:t>17.98</w:t>
      </w:r>
      <w:r>
        <w:rPr>
          <w:rFonts w:hint="eastAsia" w:ascii="仿宋_GB2312" w:eastAsia="仿宋_GB2312"/>
          <w:color w:val="000000"/>
          <w:sz w:val="32"/>
          <w:szCs w:val="32"/>
        </w:rPr>
        <w:t>万元、其他工资福利支出</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万元、公用经费</w:t>
      </w:r>
      <w:r>
        <w:rPr>
          <w:rFonts w:hint="eastAsia" w:ascii="仿宋_GB2312" w:eastAsia="仿宋_GB2312"/>
          <w:color w:val="000000"/>
          <w:sz w:val="32"/>
          <w:szCs w:val="32"/>
          <w:lang w:val="en-US" w:eastAsia="zh-CN"/>
        </w:rPr>
        <w:t>14.18</w:t>
      </w:r>
      <w:r>
        <w:rPr>
          <w:rFonts w:hint="eastAsia" w:ascii="仿宋_GB2312" w:eastAsia="仿宋_GB2312"/>
          <w:color w:val="000000"/>
          <w:sz w:val="32"/>
          <w:szCs w:val="32"/>
        </w:rPr>
        <w:t>万元等。</w:t>
      </w:r>
    </w:p>
    <w:p w14:paraId="6CAE4426">
      <w:pPr>
        <w:tabs>
          <w:tab w:val="left" w:pos="7560"/>
        </w:tabs>
        <w:adjustRightInd w:val="0"/>
        <w:snapToGrid w:val="0"/>
        <w:spacing w:line="560" w:lineRule="exact"/>
        <w:ind w:firstLine="643" w:firstLineChars="200"/>
        <w:jc w:val="left"/>
        <w:rPr>
          <w:rFonts w:hint="eastAsia" w:ascii="仿宋_GB2312" w:eastAsia="仿宋_GB2312"/>
          <w:color w:val="000000"/>
          <w:sz w:val="32"/>
          <w:szCs w:val="32"/>
        </w:rPr>
      </w:pPr>
      <w:r>
        <w:rPr>
          <w:rFonts w:hint="eastAsia" w:ascii="仿宋_GB2312" w:eastAsia="仿宋_GB2312"/>
          <w:b/>
          <w:color w:val="000000"/>
          <w:sz w:val="32"/>
          <w:szCs w:val="32"/>
        </w:rPr>
        <w:t>2.项目支出：</w:t>
      </w:r>
      <w:r>
        <w:rPr>
          <w:rFonts w:hint="eastAsia" w:ascii="仿宋_GB2312" w:eastAsia="仿宋_GB2312"/>
          <w:color w:val="000000"/>
          <w:sz w:val="32"/>
          <w:szCs w:val="32"/>
          <w:lang w:val="en-US" w:eastAsia="zh-CN"/>
        </w:rPr>
        <w:t>2021</w:t>
      </w:r>
      <w:r>
        <w:rPr>
          <w:rFonts w:hint="eastAsia" w:ascii="仿宋_GB2312" w:eastAsia="仿宋_GB2312"/>
          <w:color w:val="000000"/>
          <w:sz w:val="32"/>
          <w:szCs w:val="32"/>
        </w:rPr>
        <w:t>年年初预算数为</w:t>
      </w:r>
      <w:r>
        <w:rPr>
          <w:rFonts w:hint="eastAsia" w:ascii="仿宋_GB2312" w:eastAsia="仿宋_GB2312"/>
          <w:color w:val="000000"/>
          <w:sz w:val="32"/>
          <w:szCs w:val="32"/>
          <w:lang w:val="en-US" w:eastAsia="zh-CN"/>
        </w:rPr>
        <w:t>246</w:t>
      </w:r>
      <w:r>
        <w:rPr>
          <w:rFonts w:hint="eastAsia" w:ascii="仿宋_GB2312" w:eastAsia="仿宋_GB2312"/>
          <w:color w:val="000000"/>
          <w:sz w:val="32"/>
          <w:szCs w:val="32"/>
        </w:rPr>
        <w:t>万元，是指单位为完成特定行政工作任务或事业发展目标而发生的支出，包括有关事业发展专项、基本建设支出、资本性支出等。其中：</w:t>
      </w:r>
    </w:p>
    <w:p w14:paraId="40460927">
      <w:pPr>
        <w:tabs>
          <w:tab w:val="left" w:pos="7560"/>
        </w:tabs>
        <w:adjustRightInd w:val="0"/>
        <w:snapToGrid w:val="0"/>
        <w:spacing w:line="560"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（1）</w:t>
      </w:r>
      <w:r>
        <w:rPr>
          <w:rFonts w:hint="eastAsia" w:ascii="仿宋_GB2312" w:eastAsia="仿宋_GB2312"/>
          <w:color w:val="000000"/>
          <w:sz w:val="32"/>
          <w:szCs w:val="32"/>
          <w:lang w:val="en-US" w:eastAsia="zh-CN"/>
        </w:rPr>
        <w:t>残疾人康复</w:t>
      </w:r>
      <w:r>
        <w:rPr>
          <w:rFonts w:hint="eastAsia" w:ascii="仿宋_GB2312" w:eastAsia="仿宋_GB2312"/>
          <w:color w:val="000000"/>
          <w:sz w:val="32"/>
          <w:szCs w:val="32"/>
        </w:rPr>
        <w:t xml:space="preserve">专项  </w:t>
      </w:r>
      <w:r>
        <w:rPr>
          <w:rFonts w:hint="eastAsia" w:ascii="仿宋_GB2312" w:eastAsia="仿宋_GB2312"/>
          <w:color w:val="000000"/>
          <w:sz w:val="32"/>
          <w:szCs w:val="32"/>
          <w:lang w:val="en-US" w:eastAsia="zh-CN"/>
        </w:rPr>
        <w:t>78</w:t>
      </w:r>
      <w:r>
        <w:rPr>
          <w:rFonts w:hint="eastAsia" w:ascii="仿宋_GB2312" w:eastAsia="仿宋_GB2312"/>
          <w:color w:val="000000"/>
          <w:sz w:val="32"/>
          <w:szCs w:val="32"/>
        </w:rPr>
        <w:t>万元。主要用于实施残疾人儿童康复救助，减轻残疾儿童家庭负担，康复训练残疾儿童，减轻残疾程度；实施残疾人辅助器具适配服务，让更多残疾人享受辅助器具服务。</w:t>
      </w:r>
    </w:p>
    <w:p w14:paraId="0C0D3765">
      <w:pPr>
        <w:tabs>
          <w:tab w:val="left" w:pos="7560"/>
        </w:tabs>
        <w:adjustRightInd w:val="0"/>
        <w:snapToGrid w:val="0"/>
        <w:spacing w:line="560"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（2）</w:t>
      </w:r>
      <w:r>
        <w:rPr>
          <w:rFonts w:hint="eastAsia" w:ascii="仿宋_GB2312" w:eastAsia="仿宋_GB2312"/>
          <w:color w:val="000000"/>
          <w:sz w:val="32"/>
          <w:szCs w:val="32"/>
          <w:lang w:val="en-US" w:eastAsia="zh-CN"/>
        </w:rPr>
        <w:t>残疾人就业和扶贫</w:t>
      </w:r>
      <w:r>
        <w:rPr>
          <w:rFonts w:hint="eastAsia" w:ascii="仿宋_GB2312" w:eastAsia="仿宋_GB2312"/>
          <w:color w:val="000000"/>
          <w:sz w:val="32"/>
          <w:szCs w:val="32"/>
        </w:rPr>
        <w:t xml:space="preserve">专项 </w:t>
      </w:r>
      <w:r>
        <w:rPr>
          <w:rFonts w:hint="eastAsia" w:ascii="仿宋_GB2312" w:eastAsia="仿宋_GB2312"/>
          <w:color w:val="000000"/>
          <w:sz w:val="32"/>
          <w:szCs w:val="32"/>
          <w:lang w:val="en-US" w:eastAsia="zh-CN"/>
        </w:rPr>
        <w:t>140</w:t>
      </w:r>
      <w:r>
        <w:rPr>
          <w:rFonts w:hint="eastAsia" w:ascii="仿宋_GB2312" w:eastAsia="仿宋_GB2312"/>
          <w:color w:val="000000"/>
          <w:sz w:val="32"/>
          <w:szCs w:val="32"/>
        </w:rPr>
        <w:t xml:space="preserve"> 万元。主要用于促进和扶持残疾人就业和创业，帮助残疾人融入社会生活；提高残疾人及残疾人家庭子女受教育水平，完善残疾人及残疾人家庭子女教育保障机制；保障农村残疾人基本生活，扶持其发展生产，增加收入，实现稳定脱贫</w:t>
      </w:r>
    </w:p>
    <w:p w14:paraId="001A3A04">
      <w:pPr>
        <w:tabs>
          <w:tab w:val="left" w:pos="7560"/>
        </w:tabs>
        <w:adjustRightInd w:val="0"/>
        <w:snapToGrid w:val="0"/>
        <w:spacing w:line="560" w:lineRule="exact"/>
        <w:ind w:firstLine="640" w:firstLineChars="200"/>
        <w:jc w:val="left"/>
        <w:rPr>
          <w:rFonts w:hint="eastAsia" w:ascii="仿宋_GB2312" w:eastAsia="仿宋_GB2312"/>
          <w:color w:val="000000"/>
          <w:sz w:val="32"/>
          <w:szCs w:val="32"/>
          <w:lang w:eastAsia="zh-CN"/>
        </w:rPr>
      </w:pP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3</w:t>
      </w:r>
      <w:r>
        <w:rPr>
          <w:rFonts w:hint="eastAsia" w:ascii="仿宋_GB2312" w:eastAsia="仿宋_GB2312"/>
          <w:color w:val="000000"/>
          <w:sz w:val="32"/>
          <w:szCs w:val="32"/>
          <w:lang w:eastAsia="zh-CN"/>
        </w:rPr>
        <w:t>）</w:t>
      </w:r>
      <w:r>
        <w:rPr>
          <w:rFonts w:hint="eastAsia" w:ascii="仿宋_GB2312" w:eastAsia="仿宋_GB2312"/>
          <w:color w:val="000000"/>
          <w:sz w:val="32"/>
          <w:szCs w:val="32"/>
          <w:lang w:val="en-US" w:eastAsia="zh-CN"/>
        </w:rPr>
        <w:t>其他残疾人事业专项28万元。主要用于加强全区基层组织建设、稳定专职委员队伍，规范管理核发残疾人证，开展丰富多彩的残疾人文化艺术生活，提高残疾人生活质量；加强残疾人体育事业发展，选拔培育残疾人运动员，全面提升残疾人参与体育事业的活跃度。</w:t>
      </w:r>
    </w:p>
    <w:p w14:paraId="7DF74634">
      <w:pPr>
        <w:tabs>
          <w:tab w:val="left" w:pos="7560"/>
        </w:tabs>
        <w:adjustRightInd w:val="0"/>
        <w:snapToGrid w:val="0"/>
        <w:spacing w:line="560" w:lineRule="exact"/>
        <w:ind w:firstLine="640" w:firstLineChars="200"/>
        <w:jc w:val="left"/>
        <w:rPr>
          <w:rFonts w:hint="eastAsia" w:ascii="仿宋_GB2312" w:eastAsia="仿宋_GB2312"/>
          <w:color w:val="000000"/>
          <w:sz w:val="32"/>
          <w:szCs w:val="32"/>
          <w:lang w:val="en-US" w:eastAsia="zh-CN"/>
        </w:rPr>
      </w:pPr>
      <w:r>
        <w:rPr>
          <w:rFonts w:hint="eastAsia" w:ascii="楷体_GB2312" w:eastAsia="楷体_GB2312"/>
          <w:bCs/>
          <w:color w:val="000000"/>
          <w:sz w:val="32"/>
          <w:szCs w:val="32"/>
        </w:rPr>
        <w:t>（三）预算收支增减变化情况说明：</w:t>
      </w: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年度本单位年初预算数为</w:t>
      </w:r>
      <w:r>
        <w:rPr>
          <w:rFonts w:hint="eastAsia" w:ascii="仿宋_GB2312" w:eastAsia="仿宋_GB2312"/>
          <w:color w:val="000000"/>
          <w:sz w:val="32"/>
          <w:szCs w:val="32"/>
          <w:lang w:val="en-US" w:eastAsia="zh-CN"/>
        </w:rPr>
        <w:t>351.31</w:t>
      </w:r>
      <w:r>
        <w:rPr>
          <w:rFonts w:hint="eastAsia" w:ascii="仿宋_GB2312" w:eastAsia="仿宋_GB2312"/>
          <w:color w:val="000000"/>
          <w:sz w:val="32"/>
          <w:szCs w:val="32"/>
        </w:rPr>
        <w:t>万元，比上年</w:t>
      </w:r>
      <w:r>
        <w:rPr>
          <w:rFonts w:hint="eastAsia" w:ascii="仿宋_GB2312" w:eastAsia="仿宋_GB2312"/>
          <w:color w:val="000000"/>
          <w:sz w:val="32"/>
          <w:szCs w:val="32"/>
          <w:lang w:val="en-US" w:eastAsia="zh-CN"/>
        </w:rPr>
        <w:t>减少128.15</w:t>
      </w:r>
      <w:r>
        <w:rPr>
          <w:rFonts w:hint="eastAsia" w:ascii="仿宋_GB2312" w:eastAsia="仿宋_GB2312"/>
          <w:color w:val="000000"/>
          <w:sz w:val="32"/>
          <w:szCs w:val="32"/>
        </w:rPr>
        <w:t>万元，主要原因是</w:t>
      </w:r>
      <w:r>
        <w:rPr>
          <w:rFonts w:hint="eastAsia" w:ascii="仿宋_GB2312" w:eastAsia="仿宋_GB2312"/>
          <w:color w:val="000000"/>
          <w:sz w:val="32"/>
          <w:szCs w:val="32"/>
          <w:lang w:val="en-US" w:eastAsia="zh-CN"/>
        </w:rPr>
        <w:t>实行厉行节约压缩各项开支。</w:t>
      </w:r>
    </w:p>
    <w:p w14:paraId="30A125CB">
      <w:pPr>
        <w:tabs>
          <w:tab w:val="left" w:pos="7560"/>
        </w:tabs>
        <w:adjustRightInd w:val="0"/>
        <w:snapToGrid w:val="0"/>
        <w:spacing w:line="560" w:lineRule="exact"/>
        <w:ind w:firstLine="640" w:firstLineChars="200"/>
        <w:jc w:val="left"/>
        <w:rPr>
          <w:rFonts w:hint="eastAsia" w:ascii="黑体" w:hAnsi="黑体" w:eastAsia="黑体"/>
          <w:color w:val="000000"/>
          <w:sz w:val="32"/>
          <w:szCs w:val="32"/>
        </w:rPr>
      </w:pPr>
      <w:r>
        <w:rPr>
          <w:rFonts w:hint="eastAsia" w:ascii="黑体" w:hAnsi="黑体" w:eastAsia="黑体"/>
          <w:color w:val="000000"/>
          <w:sz w:val="32"/>
          <w:szCs w:val="32"/>
        </w:rPr>
        <w:t>四、其他重要事项情况说明</w:t>
      </w:r>
    </w:p>
    <w:p w14:paraId="300CAF9B">
      <w:pPr>
        <w:tabs>
          <w:tab w:val="left" w:pos="7560"/>
        </w:tabs>
        <w:adjustRightInd w:val="0"/>
        <w:snapToGrid w:val="0"/>
        <w:spacing w:line="560" w:lineRule="exact"/>
        <w:ind w:firstLine="640" w:firstLineChars="200"/>
        <w:jc w:val="left"/>
        <w:rPr>
          <w:rFonts w:hint="eastAsia" w:ascii="仿宋_GB2312" w:eastAsia="仿宋_GB2312"/>
          <w:bCs/>
          <w:color w:val="000000"/>
          <w:sz w:val="32"/>
          <w:szCs w:val="32"/>
        </w:rPr>
      </w:pPr>
      <w:r>
        <w:rPr>
          <w:rFonts w:hint="eastAsia" w:ascii="楷体_GB2312" w:eastAsia="楷体_GB2312"/>
          <w:bCs/>
          <w:color w:val="000000"/>
          <w:sz w:val="32"/>
          <w:szCs w:val="32"/>
        </w:rPr>
        <w:t>（一）机关运行经费：</w:t>
      </w:r>
      <w:r>
        <w:rPr>
          <w:rFonts w:hint="eastAsia" w:ascii="仿宋_GB2312" w:eastAsia="仿宋_GB2312"/>
          <w:color w:val="000000"/>
          <w:sz w:val="32"/>
          <w:szCs w:val="32"/>
        </w:rPr>
        <w:t>本部门</w:t>
      </w:r>
      <w:r>
        <w:rPr>
          <w:rFonts w:hint="eastAsia" w:ascii="仿宋_GB2312" w:eastAsia="仿宋_GB2312"/>
          <w:color w:val="000000"/>
          <w:sz w:val="32"/>
          <w:szCs w:val="32"/>
          <w:lang w:val="en-US" w:eastAsia="zh-CN"/>
        </w:rPr>
        <w:t>2021</w:t>
      </w:r>
      <w:r>
        <w:rPr>
          <w:rFonts w:hint="eastAsia" w:ascii="仿宋_GB2312" w:eastAsia="仿宋_GB2312"/>
          <w:color w:val="000000"/>
          <w:sz w:val="32"/>
          <w:szCs w:val="32"/>
        </w:rPr>
        <w:t>年年初预算机关运行经费(商品和服务支出+业务性专项)共安排</w:t>
      </w:r>
      <w:r>
        <w:rPr>
          <w:rFonts w:hint="eastAsia" w:ascii="仿宋_GB2312" w:eastAsia="仿宋_GB2312"/>
          <w:color w:val="000000"/>
          <w:sz w:val="32"/>
          <w:szCs w:val="32"/>
          <w:lang w:val="en-US" w:eastAsia="zh-CN"/>
        </w:rPr>
        <w:t>14.18</w:t>
      </w:r>
      <w:r>
        <w:rPr>
          <w:rFonts w:hint="eastAsia" w:ascii="仿宋_GB2312" w:eastAsia="仿宋_GB2312"/>
          <w:color w:val="000000"/>
          <w:sz w:val="32"/>
          <w:szCs w:val="32"/>
        </w:rPr>
        <w:t>万元，比上年度预算</w:t>
      </w:r>
      <w:r>
        <w:rPr>
          <w:rFonts w:hint="eastAsia" w:ascii="仿宋_GB2312" w:eastAsia="仿宋_GB2312"/>
          <w:color w:val="000000"/>
          <w:sz w:val="32"/>
          <w:szCs w:val="32"/>
          <w:lang w:val="en-US" w:eastAsia="zh-CN"/>
        </w:rPr>
        <w:t>减少4.16</w:t>
      </w:r>
      <w:r>
        <w:rPr>
          <w:rFonts w:hint="eastAsia" w:ascii="仿宋_GB2312" w:eastAsia="仿宋_GB2312"/>
          <w:color w:val="000000"/>
          <w:sz w:val="32"/>
          <w:szCs w:val="32"/>
        </w:rPr>
        <w:t>万元，</w:t>
      </w:r>
      <w:r>
        <w:rPr>
          <w:rFonts w:hint="eastAsia" w:ascii="仿宋_GB2312" w:eastAsia="仿宋_GB2312"/>
          <w:bCs/>
          <w:color w:val="000000"/>
          <w:sz w:val="32"/>
          <w:szCs w:val="32"/>
        </w:rPr>
        <w:t>增加的主要原因是：</w:t>
      </w:r>
      <w:r>
        <w:rPr>
          <w:rFonts w:hint="eastAsia" w:ascii="仿宋_GB2312" w:eastAsia="仿宋_GB2312"/>
          <w:color w:val="000000"/>
          <w:sz w:val="32"/>
          <w:szCs w:val="32"/>
          <w:lang w:val="en-US" w:eastAsia="zh-CN"/>
        </w:rPr>
        <w:t>实行厉行节约压缩各项开支。</w:t>
      </w:r>
    </w:p>
    <w:p w14:paraId="5023333F">
      <w:pPr>
        <w:tabs>
          <w:tab w:val="left" w:pos="7560"/>
        </w:tabs>
        <w:adjustRightInd w:val="0"/>
        <w:snapToGrid w:val="0"/>
        <w:spacing w:line="560" w:lineRule="exact"/>
        <w:ind w:firstLine="640" w:firstLineChars="200"/>
        <w:jc w:val="left"/>
        <w:rPr>
          <w:rFonts w:hint="eastAsia" w:ascii="仿宋_GB2312" w:eastAsia="仿宋_GB2312"/>
          <w:color w:val="000000"/>
          <w:sz w:val="32"/>
          <w:szCs w:val="32"/>
        </w:rPr>
      </w:pPr>
      <w:r>
        <w:rPr>
          <w:rFonts w:hint="eastAsia" w:ascii="楷体_GB2312" w:eastAsia="楷体_GB2312"/>
          <w:bCs/>
          <w:color w:val="000000"/>
          <w:sz w:val="32"/>
          <w:szCs w:val="32"/>
        </w:rPr>
        <w:t>（二)政府采购预算：</w:t>
      </w:r>
      <w:r>
        <w:rPr>
          <w:rFonts w:hint="eastAsia" w:ascii="仿宋_GB2312" w:eastAsia="仿宋_GB2312"/>
          <w:color w:val="000000"/>
          <w:sz w:val="32"/>
          <w:szCs w:val="32"/>
          <w:lang w:val="en-US" w:eastAsia="zh-CN"/>
        </w:rPr>
        <w:t>2021</w:t>
      </w:r>
      <w:r>
        <w:rPr>
          <w:rFonts w:hint="eastAsia" w:ascii="仿宋_GB2312" w:eastAsia="仿宋_GB2312"/>
          <w:color w:val="000000"/>
          <w:sz w:val="32"/>
          <w:szCs w:val="32"/>
        </w:rPr>
        <w:t>年年初预算数为</w:t>
      </w:r>
      <w:r>
        <w:rPr>
          <w:rFonts w:hint="eastAsia" w:ascii="仿宋_GB2312" w:eastAsia="仿宋_GB2312"/>
          <w:color w:val="000000"/>
          <w:sz w:val="32"/>
          <w:szCs w:val="32"/>
          <w:lang w:val="en-US" w:eastAsia="zh-CN"/>
        </w:rPr>
        <w:t>2.5</w:t>
      </w:r>
      <w:r>
        <w:rPr>
          <w:rFonts w:hint="eastAsia" w:ascii="仿宋_GB2312" w:eastAsia="仿宋_GB2312"/>
          <w:color w:val="000000"/>
          <w:sz w:val="32"/>
          <w:szCs w:val="32"/>
        </w:rPr>
        <w:t>万元。包含：</w:t>
      </w:r>
      <w:r>
        <w:rPr>
          <w:rFonts w:hint="eastAsia" w:ascii="仿宋_GB2312" w:eastAsia="仿宋_GB2312"/>
          <w:color w:val="000000"/>
          <w:sz w:val="32"/>
          <w:szCs w:val="32"/>
          <w:lang w:val="en-US" w:eastAsia="zh-CN"/>
        </w:rPr>
        <w:t>货物类1.7</w:t>
      </w:r>
      <w:r>
        <w:rPr>
          <w:rFonts w:hint="eastAsia" w:ascii="仿宋_GB2312" w:eastAsia="仿宋_GB2312"/>
          <w:color w:val="000000"/>
          <w:sz w:val="32"/>
          <w:szCs w:val="32"/>
        </w:rPr>
        <w:t>万元、</w:t>
      </w:r>
      <w:r>
        <w:rPr>
          <w:rFonts w:hint="eastAsia" w:ascii="仿宋_GB2312" w:eastAsia="仿宋_GB2312"/>
          <w:color w:val="000000"/>
          <w:sz w:val="32"/>
          <w:szCs w:val="32"/>
          <w:lang w:val="en-US" w:eastAsia="zh-CN"/>
        </w:rPr>
        <w:t>服务类0.8</w:t>
      </w:r>
      <w:r>
        <w:rPr>
          <w:rFonts w:hint="eastAsia" w:ascii="仿宋_GB2312" w:eastAsia="仿宋_GB2312"/>
          <w:color w:val="000000"/>
          <w:sz w:val="32"/>
          <w:szCs w:val="32"/>
        </w:rPr>
        <w:t>万元</w:t>
      </w:r>
    </w:p>
    <w:p w14:paraId="5230571F">
      <w:pPr>
        <w:tabs>
          <w:tab w:val="left" w:pos="7560"/>
        </w:tabs>
        <w:adjustRightInd w:val="0"/>
        <w:snapToGrid w:val="0"/>
        <w:spacing w:line="560" w:lineRule="exact"/>
        <w:ind w:firstLine="640" w:firstLineChars="200"/>
        <w:jc w:val="left"/>
        <w:rPr>
          <w:rFonts w:hint="eastAsia" w:ascii="仿宋_GB2312" w:eastAsia="仿宋_GB2312"/>
          <w:color w:val="000000"/>
          <w:sz w:val="32"/>
          <w:szCs w:val="32"/>
        </w:rPr>
      </w:pPr>
      <w:r>
        <w:rPr>
          <w:rFonts w:hint="eastAsia" w:ascii="楷体_GB2312" w:eastAsia="楷体_GB2312"/>
          <w:bCs/>
          <w:color w:val="000000"/>
          <w:sz w:val="32"/>
          <w:szCs w:val="32"/>
        </w:rPr>
        <w:t>（三）国有资产占有情况：</w:t>
      </w:r>
      <w:r>
        <w:rPr>
          <w:rFonts w:hint="eastAsia" w:ascii="仿宋_GB2312" w:eastAsia="仿宋_GB2312"/>
          <w:color w:val="000000"/>
          <w:sz w:val="32"/>
          <w:szCs w:val="32"/>
        </w:rPr>
        <w:t>截止20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 xml:space="preserve">年12月31日，本部门共有办公及业务用房  </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 xml:space="preserve"> 平方米；车辆</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 xml:space="preserve">  辆，其中一般公务用车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辆、一般执法执勤用车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辆、货币化用车</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 xml:space="preserve">辆；单位价值200万以上大型设备 </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 xml:space="preserve"> 套。202</w:t>
      </w:r>
      <w:r>
        <w:rPr>
          <w:rFonts w:hint="eastAsia" w:ascii="仿宋_GB2312" w:eastAsia="仿宋_GB2312"/>
          <w:color w:val="000000"/>
          <w:sz w:val="32"/>
          <w:szCs w:val="32"/>
          <w:lang w:val="en-US" w:eastAsia="zh-CN"/>
        </w:rPr>
        <w:t>1</w:t>
      </w:r>
      <w:r>
        <w:rPr>
          <w:rFonts w:hint="eastAsia" w:ascii="仿宋_GB2312" w:eastAsia="仿宋_GB2312"/>
          <w:color w:val="000000"/>
          <w:sz w:val="32"/>
          <w:szCs w:val="32"/>
        </w:rPr>
        <w:t xml:space="preserve">年部门预算安排购置车辆 </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 xml:space="preserve"> 辆，预算安排购置价值200万以上大型设备 </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 xml:space="preserve"> 套。</w:t>
      </w:r>
    </w:p>
    <w:p w14:paraId="3DE79CFA">
      <w:pPr>
        <w:tabs>
          <w:tab w:val="left" w:pos="7560"/>
        </w:tabs>
        <w:adjustRightInd w:val="0"/>
        <w:snapToGrid w:val="0"/>
        <w:spacing w:line="560" w:lineRule="exact"/>
        <w:ind w:firstLine="640" w:firstLineChars="200"/>
        <w:jc w:val="left"/>
        <w:rPr>
          <w:rFonts w:hint="eastAsia" w:ascii="仿宋_GB2312" w:eastAsia="仿宋_GB2312"/>
          <w:b/>
          <w:bCs/>
          <w:color w:val="000000"/>
          <w:sz w:val="32"/>
          <w:szCs w:val="32"/>
        </w:rPr>
      </w:pPr>
      <w:r>
        <w:rPr>
          <w:rFonts w:hint="eastAsia" w:ascii="楷体_GB2312" w:eastAsia="楷体_GB2312"/>
          <w:bCs/>
          <w:color w:val="000000"/>
          <w:sz w:val="32"/>
          <w:szCs w:val="32"/>
        </w:rPr>
        <w:t>（四）预算绩效目标：</w:t>
      </w:r>
      <w:r>
        <w:rPr>
          <w:rFonts w:hint="eastAsia" w:ascii="仿宋_GB2312" w:eastAsia="仿宋_GB2312"/>
          <w:color w:val="000000"/>
          <w:sz w:val="32"/>
          <w:szCs w:val="32"/>
        </w:rPr>
        <w:t>本部门整体支出和项目支出实行绩效目标管理，纳入20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 xml:space="preserve">年部门整体支出绩效目标的金额为 </w:t>
      </w:r>
      <w:r>
        <w:rPr>
          <w:rFonts w:hint="eastAsia" w:ascii="仿宋_GB2312" w:eastAsia="仿宋_GB2312"/>
          <w:color w:val="000000"/>
          <w:sz w:val="32"/>
          <w:szCs w:val="32"/>
          <w:lang w:val="en-US" w:eastAsia="zh-CN"/>
        </w:rPr>
        <w:t>351.31</w:t>
      </w:r>
      <w:r>
        <w:rPr>
          <w:rFonts w:hint="eastAsia" w:ascii="仿宋_GB2312" w:eastAsia="仿宋_GB2312"/>
          <w:color w:val="000000"/>
          <w:sz w:val="32"/>
          <w:szCs w:val="32"/>
        </w:rPr>
        <w:t xml:space="preserve">万元，其中，基本支出  </w:t>
      </w:r>
      <w:r>
        <w:rPr>
          <w:rFonts w:hint="eastAsia" w:ascii="仿宋_GB2312" w:eastAsia="仿宋_GB2312"/>
          <w:color w:val="000000"/>
          <w:sz w:val="32"/>
          <w:szCs w:val="32"/>
          <w:lang w:val="en-US" w:eastAsia="zh-CN"/>
        </w:rPr>
        <w:t>105.31</w:t>
      </w:r>
      <w:r>
        <w:rPr>
          <w:rFonts w:hint="eastAsia" w:ascii="仿宋_GB2312" w:eastAsia="仿宋_GB2312"/>
          <w:color w:val="000000"/>
          <w:sz w:val="32"/>
          <w:szCs w:val="32"/>
        </w:rPr>
        <w:t xml:space="preserve">万元，项目支出   </w:t>
      </w:r>
      <w:r>
        <w:rPr>
          <w:rFonts w:hint="eastAsia" w:ascii="仿宋_GB2312" w:eastAsia="仿宋_GB2312"/>
          <w:color w:val="000000"/>
          <w:sz w:val="32"/>
          <w:szCs w:val="32"/>
          <w:lang w:val="en-US" w:eastAsia="zh-CN"/>
        </w:rPr>
        <w:t>246</w:t>
      </w:r>
      <w:r>
        <w:rPr>
          <w:rFonts w:hint="eastAsia" w:ascii="仿宋_GB2312" w:eastAsia="仿宋_GB2312"/>
          <w:color w:val="000000"/>
          <w:sz w:val="32"/>
          <w:szCs w:val="32"/>
        </w:rPr>
        <w:t>万元（具体绩效目标详见附表）。 </w:t>
      </w:r>
    </w:p>
    <w:p w14:paraId="6D34A932">
      <w:pPr>
        <w:tabs>
          <w:tab w:val="left" w:pos="7560"/>
        </w:tabs>
        <w:adjustRightInd w:val="0"/>
        <w:snapToGrid w:val="0"/>
        <w:spacing w:line="560" w:lineRule="exact"/>
        <w:ind w:firstLine="640" w:firstLineChars="200"/>
        <w:jc w:val="left"/>
        <w:rPr>
          <w:rFonts w:hint="eastAsia" w:ascii="楷体_GB2312" w:eastAsia="楷体_GB2312"/>
          <w:bCs/>
          <w:color w:val="000000"/>
          <w:sz w:val="32"/>
          <w:szCs w:val="32"/>
        </w:rPr>
      </w:pPr>
      <w:r>
        <w:rPr>
          <w:rFonts w:hint="eastAsia" w:ascii="楷体_GB2312" w:eastAsia="楷体_GB2312"/>
          <w:bCs/>
          <w:color w:val="000000"/>
          <w:sz w:val="32"/>
          <w:szCs w:val="32"/>
        </w:rPr>
        <w:t>（五）“三公”经费预算：</w:t>
      </w:r>
    </w:p>
    <w:p w14:paraId="410BC629">
      <w:pPr>
        <w:tabs>
          <w:tab w:val="left" w:pos="7560"/>
        </w:tabs>
        <w:adjustRightInd w:val="0"/>
        <w:snapToGrid w:val="0"/>
        <w:spacing w:line="560" w:lineRule="exact"/>
        <w:ind w:firstLine="640" w:firstLineChars="200"/>
        <w:jc w:val="left"/>
        <w:rPr>
          <w:rFonts w:hint="eastAsia" w:ascii="仿宋_GB2312" w:eastAsia="仿宋_GB2312"/>
          <w:b/>
          <w:bCs/>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年“三公”经费预算数</w:t>
      </w:r>
      <w:r>
        <w:rPr>
          <w:rFonts w:hint="eastAsia" w:ascii="仿宋_GB2312" w:eastAsia="仿宋_GB2312"/>
          <w:color w:val="000000"/>
          <w:sz w:val="32"/>
          <w:szCs w:val="32"/>
          <w:lang w:val="en-US" w:eastAsia="zh-CN"/>
        </w:rPr>
        <w:t>0.6</w:t>
      </w:r>
      <w:r>
        <w:rPr>
          <w:rFonts w:hint="eastAsia" w:ascii="仿宋_GB2312" w:eastAsia="仿宋_GB2312"/>
          <w:color w:val="000000"/>
          <w:sz w:val="32"/>
          <w:szCs w:val="32"/>
        </w:rPr>
        <w:t>万元，其中：公务接待费</w:t>
      </w:r>
      <w:r>
        <w:rPr>
          <w:rFonts w:hint="eastAsia" w:ascii="仿宋_GB2312" w:eastAsia="仿宋_GB2312"/>
          <w:color w:val="000000"/>
          <w:sz w:val="32"/>
          <w:szCs w:val="32"/>
          <w:lang w:val="en-US" w:eastAsia="zh-CN"/>
        </w:rPr>
        <w:t>0.6</w:t>
      </w:r>
      <w:r>
        <w:rPr>
          <w:rFonts w:hint="eastAsia" w:ascii="仿宋_GB2312" w:eastAsia="仿宋_GB2312"/>
          <w:color w:val="000000"/>
          <w:sz w:val="32"/>
          <w:szCs w:val="32"/>
        </w:rPr>
        <w:t>万元、公务用车购置费</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万元，公务用车运行费</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万元、因公出国（境）费</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万元。20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年公务用车购置数</w:t>
      </w:r>
      <w:r>
        <w:rPr>
          <w:rFonts w:hint="eastAsia" w:ascii="仿宋_GB2312" w:eastAsia="仿宋_GB2312"/>
          <w:color w:val="000000"/>
          <w:sz w:val="32"/>
          <w:szCs w:val="32"/>
          <w:lang w:val="en-US" w:eastAsia="zh-CN"/>
        </w:rPr>
        <w:t>0</w:t>
      </w:r>
      <w:r>
        <w:rPr>
          <w:rFonts w:hint="eastAsia" w:ascii="仿宋_GB2312" w:eastAsia="仿宋_GB2312"/>
          <w:color w:val="000000"/>
          <w:sz w:val="32"/>
          <w:szCs w:val="32"/>
        </w:rPr>
        <w:t>台</w:t>
      </w:r>
      <w:r>
        <w:rPr>
          <w:rFonts w:hint="eastAsia" w:ascii="仿宋_GB2312" w:eastAsia="仿宋_GB2312"/>
          <w:b/>
          <w:bCs/>
          <w:color w:val="000000"/>
          <w:sz w:val="32"/>
          <w:szCs w:val="32"/>
        </w:rPr>
        <w:t>。</w:t>
      </w:r>
    </w:p>
    <w:p w14:paraId="2A03C553">
      <w:pPr>
        <w:tabs>
          <w:tab w:val="left" w:pos="7560"/>
        </w:tabs>
        <w:adjustRightInd w:val="0"/>
        <w:snapToGrid w:val="0"/>
        <w:spacing w:line="560"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年“三公”经费预算数比20</w:t>
      </w:r>
      <w:r>
        <w:rPr>
          <w:rFonts w:hint="eastAsia" w:ascii="仿宋_GB2312" w:eastAsia="仿宋_GB2312"/>
          <w:color w:val="000000"/>
          <w:sz w:val="32"/>
          <w:szCs w:val="32"/>
          <w:lang w:val="en-US" w:eastAsia="zh-CN"/>
        </w:rPr>
        <w:t>20</w:t>
      </w:r>
      <w:r>
        <w:rPr>
          <w:rFonts w:hint="eastAsia" w:ascii="仿宋_GB2312" w:eastAsia="仿宋_GB2312"/>
          <w:color w:val="000000"/>
          <w:sz w:val="32"/>
          <w:szCs w:val="32"/>
        </w:rPr>
        <w:t>年减少</w:t>
      </w:r>
      <w:r>
        <w:rPr>
          <w:rFonts w:hint="eastAsia" w:ascii="仿宋_GB2312" w:eastAsia="仿宋_GB2312"/>
          <w:color w:val="000000"/>
          <w:sz w:val="32"/>
          <w:szCs w:val="32"/>
          <w:lang w:val="en-US" w:eastAsia="zh-CN"/>
        </w:rPr>
        <w:t>0.25</w:t>
      </w:r>
      <w:r>
        <w:rPr>
          <w:rFonts w:hint="eastAsia" w:ascii="仿宋_GB2312" w:eastAsia="仿宋_GB2312"/>
          <w:color w:val="000000"/>
          <w:sz w:val="32"/>
          <w:szCs w:val="32"/>
        </w:rPr>
        <w:t>万元，主要是因为</w:t>
      </w:r>
      <w:r>
        <w:rPr>
          <w:rFonts w:hint="eastAsia" w:ascii="仿宋_GB2312" w:eastAsia="仿宋_GB2312"/>
          <w:color w:val="000000"/>
          <w:sz w:val="32"/>
          <w:szCs w:val="32"/>
          <w:lang w:val="en-US" w:eastAsia="zh-CN"/>
        </w:rPr>
        <w:t>厉行节约</w:t>
      </w:r>
      <w:r>
        <w:rPr>
          <w:rFonts w:hint="eastAsia" w:ascii="仿宋_GB2312" w:eastAsia="仿宋_GB2312"/>
          <w:color w:val="000000"/>
          <w:sz w:val="32"/>
          <w:szCs w:val="32"/>
        </w:rPr>
        <w:t>。</w:t>
      </w:r>
    </w:p>
    <w:p w14:paraId="0F10B384">
      <w:pPr>
        <w:tabs>
          <w:tab w:val="left" w:pos="7560"/>
        </w:tabs>
        <w:adjustRightInd w:val="0"/>
        <w:snapToGrid w:val="0"/>
        <w:spacing w:line="560" w:lineRule="exact"/>
        <w:ind w:firstLine="640" w:firstLineChars="200"/>
        <w:jc w:val="left"/>
        <w:rPr>
          <w:rFonts w:hint="eastAsia" w:ascii="楷体_GB2312" w:eastAsia="楷体_GB2312"/>
          <w:bCs/>
          <w:color w:val="000000"/>
          <w:sz w:val="32"/>
          <w:szCs w:val="32"/>
        </w:rPr>
      </w:pPr>
      <w:r>
        <w:rPr>
          <w:rFonts w:hint="eastAsia" w:ascii="楷体_GB2312" w:eastAsia="楷体_GB2312"/>
          <w:bCs/>
          <w:color w:val="000000"/>
          <w:sz w:val="32"/>
          <w:szCs w:val="32"/>
        </w:rPr>
        <w:t>（六）会议费、培训费预算：</w:t>
      </w:r>
    </w:p>
    <w:p w14:paraId="325D28C0">
      <w:pPr>
        <w:tabs>
          <w:tab w:val="left" w:pos="7560"/>
        </w:tabs>
        <w:adjustRightInd w:val="0"/>
        <w:snapToGrid w:val="0"/>
        <w:spacing w:line="560" w:lineRule="exact"/>
        <w:ind w:firstLine="640" w:firstLineChars="200"/>
        <w:jc w:val="left"/>
        <w:rPr>
          <w:rFonts w:hint="eastAsia" w:ascii="仿宋_GB2312" w:eastAsia="仿宋_GB2312"/>
          <w:color w:val="000000"/>
          <w:sz w:val="32"/>
          <w:szCs w:val="32"/>
          <w:lang w:eastAsia="zh-CN"/>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年预算安排会议费</w:t>
      </w:r>
      <w:r>
        <w:rPr>
          <w:rFonts w:hint="eastAsia" w:ascii="仿宋_GB2312" w:eastAsia="仿宋_GB2312"/>
          <w:color w:val="000000"/>
          <w:sz w:val="32"/>
          <w:szCs w:val="32"/>
          <w:lang w:val="en-US" w:eastAsia="zh-CN"/>
        </w:rPr>
        <w:t>0.2</w:t>
      </w:r>
      <w:r>
        <w:rPr>
          <w:rFonts w:hint="eastAsia" w:ascii="仿宋_GB2312" w:eastAsia="仿宋_GB2312"/>
          <w:color w:val="000000"/>
          <w:sz w:val="32"/>
          <w:szCs w:val="32"/>
        </w:rPr>
        <w:t>万元</w:t>
      </w:r>
      <w:r>
        <w:rPr>
          <w:rFonts w:hint="eastAsia" w:ascii="仿宋_GB2312" w:eastAsia="仿宋_GB2312"/>
          <w:color w:val="000000"/>
          <w:sz w:val="32"/>
          <w:szCs w:val="32"/>
          <w:lang w:eastAsia="zh-CN"/>
        </w:rPr>
        <w:t>。</w:t>
      </w:r>
    </w:p>
    <w:p w14:paraId="11C76596">
      <w:pPr>
        <w:tabs>
          <w:tab w:val="left" w:pos="7560"/>
        </w:tabs>
        <w:adjustRightInd w:val="0"/>
        <w:snapToGrid w:val="0"/>
        <w:spacing w:line="560" w:lineRule="exact"/>
        <w:ind w:firstLine="640" w:firstLineChars="200"/>
        <w:jc w:val="left"/>
        <w:rPr>
          <w:rFonts w:hint="eastAsia" w:ascii="仿宋_GB2312" w:eastAsia="仿宋_GB2312"/>
          <w:color w:val="000000"/>
          <w:sz w:val="32"/>
          <w:szCs w:val="32"/>
        </w:rPr>
      </w:pPr>
      <w:r>
        <w:rPr>
          <w:rFonts w:hint="eastAsia" w:ascii="仿宋_GB2312" w:eastAsia="仿宋_GB2312"/>
          <w:color w:val="000000"/>
          <w:sz w:val="32"/>
          <w:szCs w:val="32"/>
        </w:rPr>
        <w:t>20</w:t>
      </w:r>
      <w:r>
        <w:rPr>
          <w:rFonts w:hint="eastAsia" w:ascii="仿宋_GB2312" w:eastAsia="仿宋_GB2312"/>
          <w:color w:val="000000"/>
          <w:sz w:val="32"/>
          <w:szCs w:val="32"/>
          <w:lang w:val="en-US" w:eastAsia="zh-CN"/>
        </w:rPr>
        <w:t>21</w:t>
      </w:r>
      <w:r>
        <w:rPr>
          <w:rFonts w:hint="eastAsia" w:ascii="仿宋_GB2312" w:eastAsia="仿宋_GB2312"/>
          <w:color w:val="000000"/>
          <w:sz w:val="32"/>
          <w:szCs w:val="32"/>
        </w:rPr>
        <w:t>年预算安排培训费</w:t>
      </w:r>
      <w:r>
        <w:rPr>
          <w:rFonts w:hint="eastAsia" w:ascii="仿宋_GB2312" w:eastAsia="仿宋_GB2312"/>
          <w:color w:val="000000"/>
          <w:sz w:val="32"/>
          <w:szCs w:val="32"/>
          <w:lang w:val="en-US" w:eastAsia="zh-CN"/>
        </w:rPr>
        <w:t>0.5</w:t>
      </w:r>
      <w:r>
        <w:rPr>
          <w:rFonts w:hint="eastAsia" w:ascii="仿宋_GB2312" w:eastAsia="仿宋_GB2312"/>
          <w:color w:val="000000"/>
          <w:sz w:val="32"/>
          <w:szCs w:val="32"/>
        </w:rPr>
        <w:t>万元。</w:t>
      </w:r>
    </w:p>
    <w:p w14:paraId="72312B8A">
      <w:pPr>
        <w:numPr>
          <w:ilvl w:val="0"/>
          <w:numId w:val="2"/>
        </w:numPr>
        <w:tabs>
          <w:tab w:val="left" w:pos="7560"/>
        </w:tabs>
        <w:adjustRightInd w:val="0"/>
        <w:snapToGrid w:val="0"/>
        <w:spacing w:line="560" w:lineRule="exact"/>
        <w:ind w:firstLine="640" w:firstLineChars="200"/>
        <w:jc w:val="left"/>
        <w:rPr>
          <w:rFonts w:hint="eastAsia" w:ascii="仿宋_GB2312" w:eastAsia="仿宋_GB2312"/>
          <w:b w:val="0"/>
          <w:bCs w:val="0"/>
          <w:color w:val="000000"/>
          <w:sz w:val="32"/>
          <w:szCs w:val="32"/>
        </w:rPr>
      </w:pPr>
      <w:r>
        <w:rPr>
          <w:rFonts w:hint="eastAsia" w:ascii="楷体_GB2312" w:eastAsia="楷体_GB2312"/>
          <w:bCs/>
          <w:color w:val="000000"/>
          <w:sz w:val="32"/>
          <w:szCs w:val="32"/>
        </w:rPr>
        <w:t>其他事项。</w:t>
      </w:r>
      <w:r>
        <w:rPr>
          <w:rFonts w:hint="eastAsia" w:ascii="楷体_GB2312" w:eastAsia="楷体_GB2312"/>
          <w:bCs/>
          <w:color w:val="000000"/>
          <w:sz w:val="32"/>
          <w:szCs w:val="32"/>
          <w:lang w:val="en-US" w:eastAsia="zh-CN"/>
        </w:rPr>
        <w:t>本</w:t>
      </w:r>
      <w:r>
        <w:rPr>
          <w:rFonts w:hint="eastAsia" w:ascii="仿宋_GB2312" w:eastAsia="仿宋_GB2312"/>
          <w:b w:val="0"/>
          <w:bCs w:val="0"/>
          <w:color w:val="000000"/>
          <w:sz w:val="32"/>
          <w:szCs w:val="32"/>
        </w:rPr>
        <w:t>单位2021年预算未安排政府性基金收支预算</w:t>
      </w:r>
      <w:r>
        <w:rPr>
          <w:rFonts w:hint="eastAsia" w:ascii="仿宋_GB2312" w:eastAsia="仿宋_GB2312"/>
          <w:b w:val="0"/>
          <w:bCs w:val="0"/>
          <w:color w:val="000000"/>
          <w:sz w:val="32"/>
          <w:szCs w:val="32"/>
          <w:lang w:eastAsia="zh-CN"/>
        </w:rPr>
        <w:t>、</w:t>
      </w:r>
      <w:r>
        <w:rPr>
          <w:rFonts w:hint="eastAsia" w:ascii="仿宋_GB2312" w:eastAsia="仿宋_GB2312"/>
          <w:b w:val="0"/>
          <w:bCs w:val="0"/>
          <w:color w:val="000000"/>
          <w:sz w:val="32"/>
          <w:szCs w:val="32"/>
          <w:lang w:val="en-US" w:eastAsia="zh-CN"/>
        </w:rPr>
        <w:t>纳入专户管理的非税收入、市级专项资金。</w:t>
      </w:r>
    </w:p>
    <w:p w14:paraId="4B2E0DBA">
      <w:pPr>
        <w:numPr>
          <w:ilvl w:val="0"/>
          <w:numId w:val="0"/>
        </w:numPr>
        <w:tabs>
          <w:tab w:val="left" w:pos="7560"/>
        </w:tabs>
        <w:adjustRightInd w:val="0"/>
        <w:snapToGrid w:val="0"/>
        <w:spacing w:line="560" w:lineRule="exact"/>
        <w:jc w:val="left"/>
        <w:rPr>
          <w:rFonts w:hint="eastAsia" w:ascii="仿宋_GB2312" w:eastAsia="仿宋_GB2312"/>
          <w:b w:val="0"/>
          <w:bCs w:val="0"/>
          <w:color w:val="000000"/>
          <w:sz w:val="32"/>
          <w:szCs w:val="32"/>
        </w:rPr>
      </w:pPr>
    </w:p>
    <w:p w14:paraId="617C5462">
      <w:pPr>
        <w:tabs>
          <w:tab w:val="left" w:pos="7560"/>
        </w:tabs>
        <w:adjustRightInd w:val="0"/>
        <w:snapToGrid w:val="0"/>
        <w:spacing w:line="560" w:lineRule="exact"/>
        <w:ind w:firstLine="640" w:firstLineChars="200"/>
        <w:jc w:val="left"/>
        <w:rPr>
          <w:rFonts w:hint="eastAsia" w:ascii="仿宋_GB2312" w:eastAsia="仿宋_GB2312"/>
          <w:sz w:val="32"/>
          <w:szCs w:val="32"/>
          <w:lang w:val="en-US" w:eastAsia="zh-CN"/>
        </w:rPr>
      </w:pPr>
      <w:r>
        <w:rPr>
          <w:rFonts w:hint="eastAsia" w:ascii="仿宋_GB2312" w:eastAsia="仿宋_GB2312"/>
          <w:sz w:val="32"/>
          <w:szCs w:val="32"/>
          <w:lang w:val="en-US" w:eastAsia="zh-CN"/>
        </w:rPr>
        <w:t>本单位无单独的门户网站，统一在荷塘区政府门户网公开。</w:t>
      </w:r>
    </w:p>
    <w:p w14:paraId="4C6313EA">
      <w:pPr>
        <w:tabs>
          <w:tab w:val="left" w:pos="7560"/>
        </w:tabs>
        <w:adjustRightInd w:val="0"/>
        <w:snapToGrid w:val="0"/>
        <w:spacing w:line="560" w:lineRule="exact"/>
        <w:ind w:firstLine="643" w:firstLineChars="200"/>
        <w:jc w:val="left"/>
        <w:rPr>
          <w:rFonts w:hint="eastAsia" w:ascii="仿宋_GB2312" w:eastAsia="仿宋_GB2312"/>
          <w:b/>
          <w:bCs/>
          <w:sz w:val="32"/>
          <w:szCs w:val="32"/>
        </w:rPr>
      </w:pPr>
    </w:p>
    <w:p w14:paraId="295569F0">
      <w:pPr>
        <w:tabs>
          <w:tab w:val="left" w:pos="7560"/>
        </w:tabs>
        <w:adjustRightInd w:val="0"/>
        <w:snapToGrid w:val="0"/>
        <w:spacing w:line="560" w:lineRule="exact"/>
        <w:ind w:firstLine="643" w:firstLineChars="200"/>
        <w:jc w:val="left"/>
        <w:rPr>
          <w:rFonts w:hint="eastAsia" w:ascii="仿宋_GB2312" w:eastAsia="仿宋_GB2312"/>
          <w:b/>
          <w:bCs/>
          <w:sz w:val="32"/>
          <w:szCs w:val="32"/>
        </w:rPr>
      </w:pPr>
      <w:r>
        <w:rPr>
          <w:rFonts w:hint="eastAsia" w:ascii="仿宋_GB2312" w:eastAsia="仿宋_GB2312"/>
          <w:b/>
          <w:bCs/>
          <w:sz w:val="32"/>
          <w:szCs w:val="32"/>
        </w:rPr>
        <w:t>名词解释：</w:t>
      </w:r>
    </w:p>
    <w:p w14:paraId="56B347FC">
      <w:pPr>
        <w:tabs>
          <w:tab w:val="left" w:pos="7560"/>
        </w:tabs>
        <w:adjustRightInd w:val="0"/>
        <w:snapToGrid w:val="0"/>
        <w:spacing w:line="560" w:lineRule="exact"/>
        <w:ind w:firstLine="643" w:firstLineChars="200"/>
        <w:jc w:val="left"/>
        <w:rPr>
          <w:rFonts w:hint="eastAsia" w:ascii="仿宋_GB2312" w:eastAsia="仿宋_GB2312"/>
          <w:sz w:val="32"/>
          <w:szCs w:val="32"/>
        </w:rPr>
      </w:pPr>
      <w:r>
        <w:rPr>
          <w:rFonts w:hint="eastAsia" w:ascii="仿宋_GB2312" w:eastAsia="仿宋_GB2312"/>
          <w:b/>
          <w:sz w:val="32"/>
          <w:szCs w:val="32"/>
        </w:rPr>
        <w:t>1.一般公共预算:</w:t>
      </w:r>
      <w:r>
        <w:rPr>
          <w:rFonts w:hint="eastAsia" w:ascii="仿宋_GB2312" w:eastAsia="仿宋_GB2312"/>
          <w:sz w:val="32"/>
          <w:szCs w:val="32"/>
        </w:rPr>
        <w:t xml:space="preserve"> 是对以税收为主体的财政收入，安排用于保障和改善民生、推动经济社会发展、维护国家安全、维持国家机构正常运转等方面的收支预算。一般公共预算收入即通常所指的“财政收入”，按照2015年1月1日起施行的新《</w:t>
      </w:r>
      <w:r>
        <w:rPr>
          <w:rFonts w:hint="eastAsia" w:ascii="仿宋_GB2312" w:eastAsia="仿宋_GB2312"/>
          <w:sz w:val="32"/>
          <w:szCs w:val="32"/>
          <w:lang w:val="en-US" w:eastAsia="zh-CN"/>
        </w:rPr>
        <w:t>中华人民共和国</w:t>
      </w:r>
      <w:r>
        <w:rPr>
          <w:rFonts w:hint="eastAsia" w:ascii="仿宋_GB2312" w:eastAsia="仿宋_GB2312"/>
          <w:sz w:val="32"/>
          <w:szCs w:val="32"/>
        </w:rPr>
        <w:t>预算法》，改称“一般公共预算收入”。全市一般公共预算收入由地方收入、上划中央收入、上划省级收入三部分构成。</w:t>
      </w:r>
    </w:p>
    <w:p w14:paraId="4B5A0698">
      <w:pPr>
        <w:tabs>
          <w:tab w:val="left" w:pos="7560"/>
        </w:tabs>
        <w:adjustRightInd w:val="0"/>
        <w:snapToGrid w:val="0"/>
        <w:spacing w:line="560" w:lineRule="exact"/>
        <w:ind w:firstLine="643" w:firstLineChars="200"/>
        <w:jc w:val="left"/>
        <w:rPr>
          <w:rFonts w:hint="eastAsia" w:ascii="仿宋_GB2312" w:eastAsia="仿宋_GB2312"/>
          <w:sz w:val="32"/>
          <w:szCs w:val="32"/>
        </w:rPr>
      </w:pPr>
      <w:r>
        <w:rPr>
          <w:rFonts w:hint="eastAsia" w:ascii="仿宋_GB2312" w:eastAsia="仿宋_GB2312"/>
          <w:b/>
          <w:sz w:val="32"/>
          <w:szCs w:val="32"/>
        </w:rPr>
        <w:t>2.政府性基金预算:</w:t>
      </w:r>
      <w:r>
        <w:rPr>
          <w:rFonts w:hint="eastAsia" w:ascii="仿宋_GB2312" w:eastAsia="仿宋_GB2312"/>
          <w:sz w:val="32"/>
          <w:szCs w:val="32"/>
        </w:rPr>
        <w:t xml:space="preserve">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14:paraId="250F0E8B">
      <w:pPr>
        <w:tabs>
          <w:tab w:val="left" w:pos="7560"/>
        </w:tabs>
        <w:adjustRightInd w:val="0"/>
        <w:snapToGrid w:val="0"/>
        <w:spacing w:line="560" w:lineRule="exact"/>
        <w:ind w:firstLine="643" w:firstLineChars="200"/>
        <w:jc w:val="left"/>
        <w:rPr>
          <w:rFonts w:hint="eastAsia" w:ascii="仿宋_GB2312" w:eastAsia="仿宋_GB2312"/>
          <w:sz w:val="32"/>
          <w:szCs w:val="32"/>
        </w:rPr>
      </w:pPr>
      <w:r>
        <w:rPr>
          <w:rFonts w:hint="eastAsia" w:ascii="仿宋_GB2312" w:eastAsia="仿宋_GB2312"/>
          <w:b/>
          <w:sz w:val="32"/>
          <w:szCs w:val="32"/>
        </w:rPr>
        <w:t xml:space="preserve">3.国有资本经营预算: </w:t>
      </w:r>
      <w:r>
        <w:rPr>
          <w:rFonts w:hint="eastAsia" w:ascii="仿宋_GB2312" w:eastAsia="仿宋_GB2312"/>
          <w:sz w:val="32"/>
          <w:szCs w:val="32"/>
        </w:rPr>
        <w:t>是对国有资本收益作出支出安排的收支预算。应当按照收支平衡的原则编制，不列赤字，并安排资金调入一般公共预算。</w:t>
      </w:r>
    </w:p>
    <w:p w14:paraId="65BAAAC0">
      <w:pPr>
        <w:tabs>
          <w:tab w:val="left" w:pos="7560"/>
        </w:tabs>
        <w:adjustRightInd w:val="0"/>
        <w:snapToGrid w:val="0"/>
        <w:spacing w:line="560" w:lineRule="exact"/>
        <w:ind w:firstLine="643" w:firstLineChars="200"/>
        <w:jc w:val="left"/>
        <w:rPr>
          <w:rFonts w:hint="eastAsia" w:ascii="仿宋_GB2312" w:eastAsia="仿宋_GB2312"/>
          <w:sz w:val="32"/>
          <w:szCs w:val="32"/>
        </w:rPr>
      </w:pPr>
      <w:r>
        <w:rPr>
          <w:rFonts w:hint="eastAsia" w:ascii="仿宋_GB2312" w:eastAsia="仿宋_GB2312"/>
          <w:b/>
          <w:sz w:val="32"/>
          <w:szCs w:val="32"/>
        </w:rPr>
        <w:t>4.社会保险基金预算:</w:t>
      </w:r>
      <w:r>
        <w:rPr>
          <w:rFonts w:hint="eastAsia" w:ascii="仿宋_GB2312" w:eastAsia="仿宋_GB2312"/>
          <w:sz w:val="32"/>
          <w:szCs w:val="32"/>
        </w:rPr>
        <w:t xml:space="preserve"> 是对社会保险缴款、一般公共预算安排和其他方式筹集的资金，专项用于社会保险的收支预算。应当按照统筹层次和社会保险项目分别编制，做到收支平衡。</w:t>
      </w:r>
    </w:p>
    <w:p w14:paraId="2D607D99">
      <w:pPr>
        <w:tabs>
          <w:tab w:val="left" w:pos="7560"/>
        </w:tabs>
        <w:adjustRightInd w:val="0"/>
        <w:snapToGrid w:val="0"/>
        <w:spacing w:line="560" w:lineRule="exact"/>
        <w:ind w:firstLine="643" w:firstLineChars="200"/>
        <w:jc w:val="left"/>
        <w:rPr>
          <w:rFonts w:hint="eastAsia" w:ascii="仿宋_GB2312" w:eastAsia="仿宋_GB2312"/>
          <w:sz w:val="32"/>
          <w:szCs w:val="32"/>
        </w:rPr>
      </w:pPr>
      <w:r>
        <w:rPr>
          <w:rFonts w:hint="eastAsia" w:ascii="仿宋_GB2312" w:eastAsia="仿宋_GB2312"/>
          <w:b/>
          <w:sz w:val="32"/>
          <w:szCs w:val="32"/>
        </w:rPr>
        <w:t>5.基本支出：</w:t>
      </w:r>
      <w:r>
        <w:rPr>
          <w:rFonts w:hint="eastAsia" w:ascii="仿宋_GB2312" w:eastAsia="仿宋_GB2312"/>
          <w:sz w:val="32"/>
          <w:szCs w:val="32"/>
        </w:rPr>
        <w:t>指为保障机构正常运转、完成日常工作任务而发生的人员支出和公用支出。</w:t>
      </w:r>
    </w:p>
    <w:p w14:paraId="7A4BB49C">
      <w:pPr>
        <w:tabs>
          <w:tab w:val="left" w:pos="7560"/>
        </w:tabs>
        <w:adjustRightInd w:val="0"/>
        <w:snapToGrid w:val="0"/>
        <w:spacing w:line="560" w:lineRule="exact"/>
        <w:ind w:firstLine="643" w:firstLineChars="200"/>
        <w:jc w:val="left"/>
        <w:rPr>
          <w:rFonts w:hint="eastAsia" w:ascii="仿宋_GB2312" w:eastAsia="仿宋_GB2312"/>
          <w:sz w:val="32"/>
          <w:szCs w:val="32"/>
        </w:rPr>
      </w:pPr>
      <w:r>
        <w:rPr>
          <w:rFonts w:hint="eastAsia" w:ascii="仿宋_GB2312" w:eastAsia="仿宋_GB2312"/>
          <w:b/>
          <w:sz w:val="32"/>
          <w:szCs w:val="32"/>
        </w:rPr>
        <w:t>6.项目支出：</w:t>
      </w:r>
      <w:r>
        <w:rPr>
          <w:rFonts w:hint="eastAsia" w:ascii="仿宋_GB2312" w:eastAsia="仿宋_GB2312"/>
          <w:sz w:val="32"/>
          <w:szCs w:val="32"/>
        </w:rPr>
        <w:t>指在基本支出之外为完成特定行政任务和事业发展目标所发生的支出。</w:t>
      </w:r>
    </w:p>
    <w:p w14:paraId="358E6C03">
      <w:pPr>
        <w:tabs>
          <w:tab w:val="left" w:pos="7560"/>
        </w:tabs>
        <w:adjustRightInd w:val="0"/>
        <w:snapToGrid w:val="0"/>
        <w:spacing w:line="560" w:lineRule="exact"/>
        <w:ind w:firstLine="643" w:firstLineChars="200"/>
        <w:jc w:val="left"/>
        <w:rPr>
          <w:rFonts w:hint="eastAsia" w:ascii="仿宋_GB2312" w:eastAsia="仿宋_GB2312"/>
          <w:sz w:val="32"/>
          <w:szCs w:val="32"/>
        </w:rPr>
      </w:pPr>
      <w:r>
        <w:rPr>
          <w:rFonts w:hint="eastAsia" w:ascii="仿宋_GB2312" w:eastAsia="仿宋_GB2312"/>
          <w:b/>
          <w:sz w:val="32"/>
          <w:szCs w:val="32"/>
        </w:rPr>
        <w:t>7.“三公”经费：</w:t>
      </w:r>
      <w:r>
        <w:rPr>
          <w:rFonts w:hint="eastAsia" w:ascii="仿宋_GB2312" w:eastAsia="仿宋_GB2312"/>
          <w:sz w:val="32"/>
          <w:szCs w:val="32"/>
        </w:rPr>
        <w:t>是指商品和服务支出中的因公出国（境）费用、公务用车购置及运行维护费和公务接待费。</w:t>
      </w:r>
      <w:r>
        <w:rPr>
          <w:rFonts w:hint="eastAsia" w:ascii="仿宋_GB2312" w:eastAsia="仿宋_GB2312"/>
          <w:sz w:val="32"/>
          <w:szCs w:val="32"/>
        </w:rPr>
        <w:br w:type="textWrapping"/>
      </w:r>
      <w:r>
        <w:rPr>
          <w:rFonts w:hint="eastAsia" w:ascii="仿宋_GB2312" w:eastAsia="仿宋_GB2312"/>
          <w:sz w:val="32"/>
          <w:szCs w:val="32"/>
        </w:rPr>
        <w:t>8.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2B56B2A2">
      <w:pPr>
        <w:tabs>
          <w:tab w:val="left" w:pos="7560"/>
        </w:tabs>
        <w:adjustRightInd w:val="0"/>
        <w:snapToGrid w:val="0"/>
        <w:spacing w:line="560" w:lineRule="exact"/>
        <w:ind w:firstLine="640" w:firstLineChars="200"/>
        <w:rPr>
          <w:rFonts w:hint="eastAsia" w:ascii="仿宋_GB2312" w:eastAsia="仿宋_GB2312"/>
          <w:sz w:val="32"/>
          <w:szCs w:val="32"/>
        </w:rPr>
      </w:pPr>
    </w:p>
    <w:p w14:paraId="749DB98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DE8EDB"/>
    <w:multiLevelType w:val="singleLevel"/>
    <w:tmpl w:val="8FDE8EDB"/>
    <w:lvl w:ilvl="0" w:tentative="0">
      <w:start w:val="1"/>
      <w:numFmt w:val="chineseCounting"/>
      <w:suff w:val="nothing"/>
      <w:lvlText w:val="%1、"/>
      <w:lvlJc w:val="left"/>
      <w:rPr>
        <w:rFonts w:hint="eastAsia"/>
      </w:rPr>
    </w:lvl>
  </w:abstractNum>
  <w:abstractNum w:abstractNumId="1">
    <w:nsid w:val="18CB8218"/>
    <w:multiLevelType w:val="singleLevel"/>
    <w:tmpl w:val="18CB8218"/>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jMWNlZmEyMzAyZjZjZTFmZmQyZjM1ZDBhOGIyMGIifQ=="/>
  </w:docVars>
  <w:rsids>
    <w:rsidRoot w:val="00000000"/>
    <w:rsid w:val="19C96E70"/>
    <w:rsid w:val="3E504C66"/>
    <w:rsid w:val="501C2AA5"/>
    <w:rsid w:val="5A8B6EF8"/>
    <w:rsid w:val="6C772FA7"/>
    <w:rsid w:val="70725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仿宋_GB2312"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color w:val="000000"/>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3002</Words>
  <Characters>3171</Characters>
  <Lines>0</Lines>
  <Paragraphs>0</Paragraphs>
  <TotalTime>0</TotalTime>
  <ScaleCrop>false</ScaleCrop>
  <LinksUpToDate>false</LinksUpToDate>
  <CharactersWithSpaces>3217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李涛</cp:lastModifiedBy>
  <dcterms:modified xsi:type="dcterms:W3CDTF">2024-11-29T01:43:59Z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B666792BB9174E14AACCF1D27327DEFC_12</vt:lpwstr>
  </property>
</Properties>
</file>